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A97E1" w14:textId="15B0A897" w:rsidR="00FE5DAB" w:rsidRPr="005F5741" w:rsidRDefault="00FE5DAB" w:rsidP="00FE5DAB">
      <w:pPr>
        <w:rPr>
          <w:rFonts w:asciiTheme="minorHAnsi" w:hAnsiTheme="minorHAnsi"/>
          <w:sz w:val="22"/>
          <w:szCs w:val="22"/>
        </w:rPr>
      </w:pPr>
      <w:r w:rsidRPr="00554452">
        <w:rPr>
          <w:rFonts w:asciiTheme="minorHAnsi" w:hAnsiTheme="minorHAnsi"/>
          <w:sz w:val="22"/>
          <w:szCs w:val="22"/>
        </w:rPr>
        <w:t>2</w:t>
      </w:r>
      <w:r w:rsidR="00464561">
        <w:rPr>
          <w:rFonts w:asciiTheme="minorHAnsi" w:hAnsiTheme="minorHAnsi"/>
          <w:sz w:val="22"/>
          <w:szCs w:val="22"/>
        </w:rPr>
        <w:t>8</w:t>
      </w:r>
      <w:r w:rsidRPr="00554452">
        <w:rPr>
          <w:rFonts w:asciiTheme="minorHAnsi" w:hAnsiTheme="minorHAnsi"/>
          <w:sz w:val="22"/>
          <w:szCs w:val="22"/>
        </w:rPr>
        <w:t xml:space="preserve"> September</w:t>
      </w:r>
      <w:r w:rsidRPr="005F5741">
        <w:rPr>
          <w:rFonts w:asciiTheme="minorHAnsi" w:hAnsiTheme="minorHAnsi"/>
          <w:sz w:val="22"/>
          <w:szCs w:val="22"/>
        </w:rPr>
        <w:t xml:space="preserve"> 202</w:t>
      </w:r>
      <w:r>
        <w:rPr>
          <w:rFonts w:asciiTheme="minorHAnsi" w:hAnsiTheme="minorHAnsi"/>
          <w:sz w:val="22"/>
          <w:szCs w:val="22"/>
        </w:rPr>
        <w:t>6</w:t>
      </w:r>
    </w:p>
    <w:p w14:paraId="26317EF0" w14:textId="77777777" w:rsidR="00FE5DAB" w:rsidRPr="00746AB7" w:rsidRDefault="00FE5DAB" w:rsidP="00FE5DAB">
      <w:pPr>
        <w:shd w:val="clear" w:color="auto" w:fill="FFFFFF"/>
        <w:ind w:right="282"/>
        <w:jc w:val="center"/>
        <w:rPr>
          <w:rFonts w:ascii="Calibri" w:hAnsi="Calibri" w:cs="Calibri"/>
          <w:b/>
          <w:color w:val="222222"/>
          <w:sz w:val="22"/>
          <w:szCs w:val="22"/>
          <w:lang w:eastAsia="en-GB"/>
        </w:rPr>
      </w:pPr>
      <w:r w:rsidRPr="00746AB7">
        <w:rPr>
          <w:rFonts w:ascii="Calibri" w:hAnsi="Calibri" w:cs="Calibri"/>
          <w:b/>
          <w:noProof/>
          <w:color w:val="222222"/>
          <w:sz w:val="22"/>
          <w:szCs w:val="22"/>
          <w:lang w:eastAsia="en-GB"/>
        </w:rPr>
        <w:drawing>
          <wp:inline distT="114300" distB="114300" distL="114300" distR="114300" wp14:anchorId="11F44CEC" wp14:editId="06AECEA0">
            <wp:extent cx="1206126" cy="391473"/>
            <wp:effectExtent l="0" t="0" r="0" b="8890"/>
            <wp:docPr id="1" name="image1.png" descr="A black and pink logo&#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1.png" descr="A black and pink logo&#10;&#10;AI-generated content may be incorrect."/>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1206126" cy="391473"/>
                    </a:xfrm>
                    <a:prstGeom prst="rect">
                      <a:avLst/>
                    </a:prstGeom>
                    <a:ln/>
                  </pic:spPr>
                </pic:pic>
              </a:graphicData>
            </a:graphic>
          </wp:inline>
        </w:drawing>
      </w:r>
    </w:p>
    <w:p w14:paraId="53DF7BC0" w14:textId="77777777" w:rsidR="00FE5DAB" w:rsidRPr="00746AB7" w:rsidRDefault="00FE5DAB" w:rsidP="00FE5DAB">
      <w:pPr>
        <w:shd w:val="clear" w:color="auto" w:fill="FFFFFF"/>
        <w:ind w:right="140"/>
        <w:jc w:val="center"/>
        <w:rPr>
          <w:rFonts w:ascii="Calibri" w:hAnsi="Calibri" w:cs="Calibri"/>
          <w:sz w:val="22"/>
          <w:szCs w:val="22"/>
          <w:lang w:eastAsia="en-GB"/>
        </w:rPr>
      </w:pPr>
      <w:r w:rsidRPr="00746AB7">
        <w:rPr>
          <w:rFonts w:ascii="Calibri" w:hAnsi="Calibri" w:cs="Calibri"/>
          <w:b/>
          <w:color w:val="222222"/>
          <w:sz w:val="22"/>
          <w:szCs w:val="22"/>
          <w:lang w:eastAsia="en-GB"/>
        </w:rPr>
        <w:t xml:space="preserve">XP Factory plc </w:t>
      </w:r>
    </w:p>
    <w:p w14:paraId="3F9B684A" w14:textId="77777777" w:rsidR="00FE5DAB" w:rsidRPr="00746AB7" w:rsidRDefault="00FE5DAB" w:rsidP="00FE5DAB">
      <w:pPr>
        <w:shd w:val="clear" w:color="auto" w:fill="FFFFFF"/>
        <w:ind w:right="-2"/>
        <w:jc w:val="center"/>
        <w:rPr>
          <w:rFonts w:ascii="Calibri" w:hAnsi="Calibri" w:cs="Calibri"/>
          <w:color w:val="222222"/>
          <w:sz w:val="22"/>
          <w:szCs w:val="22"/>
          <w:lang w:eastAsia="en-GB"/>
        </w:rPr>
      </w:pPr>
      <w:r w:rsidRPr="00746AB7">
        <w:rPr>
          <w:rFonts w:ascii="Calibri" w:hAnsi="Calibri" w:cs="Calibri"/>
          <w:color w:val="222222"/>
          <w:sz w:val="22"/>
          <w:szCs w:val="22"/>
          <w:lang w:eastAsia="en-GB"/>
        </w:rPr>
        <w:t>(“XP Factory”, the “Company” or the “Group”)</w:t>
      </w:r>
    </w:p>
    <w:p w14:paraId="47FCBC2B" w14:textId="77777777" w:rsidR="00FE5DAB" w:rsidRPr="005F5741" w:rsidRDefault="00FE5DAB" w:rsidP="00FE5DAB">
      <w:pPr>
        <w:jc w:val="center"/>
        <w:rPr>
          <w:rFonts w:asciiTheme="minorHAnsi" w:hAnsiTheme="minorHAnsi"/>
          <w:sz w:val="22"/>
          <w:szCs w:val="22"/>
        </w:rPr>
      </w:pPr>
    </w:p>
    <w:p w14:paraId="45CB9CEE" w14:textId="77777777" w:rsidR="00FE5DAB" w:rsidRDefault="00FE5DAB" w:rsidP="00FE5DAB">
      <w:pPr>
        <w:jc w:val="center"/>
        <w:rPr>
          <w:rFonts w:asciiTheme="minorHAnsi" w:hAnsiTheme="minorHAnsi"/>
          <w:b/>
          <w:bCs/>
          <w:sz w:val="22"/>
          <w:szCs w:val="22"/>
        </w:rPr>
      </w:pPr>
      <w:r>
        <w:rPr>
          <w:rFonts w:asciiTheme="minorHAnsi" w:hAnsiTheme="minorHAnsi"/>
          <w:b/>
          <w:bCs/>
          <w:sz w:val="22"/>
          <w:szCs w:val="22"/>
        </w:rPr>
        <w:t>Disposal of Boom Battle Bar</w:t>
      </w:r>
    </w:p>
    <w:p w14:paraId="2F503219" w14:textId="77777777" w:rsidR="00FE5DAB" w:rsidRDefault="00FE5DAB" w:rsidP="00FE5DAB">
      <w:pPr>
        <w:jc w:val="center"/>
        <w:rPr>
          <w:rFonts w:asciiTheme="minorHAnsi" w:hAnsiTheme="minorHAnsi"/>
          <w:b/>
          <w:bCs/>
          <w:sz w:val="22"/>
          <w:szCs w:val="22"/>
          <w:vertAlign w:val="superscript"/>
        </w:rPr>
      </w:pPr>
      <w:r>
        <w:rPr>
          <w:rFonts w:asciiTheme="minorHAnsi" w:hAnsiTheme="minorHAnsi"/>
          <w:b/>
          <w:bCs/>
          <w:sz w:val="22"/>
          <w:szCs w:val="22"/>
        </w:rPr>
        <w:t>“Transaction sharpens strategic focus on Escape Hunt”</w:t>
      </w:r>
      <w:r w:rsidRPr="00B630D2">
        <w:rPr>
          <w:rFonts w:asciiTheme="minorHAnsi" w:hAnsiTheme="minorHAnsi"/>
          <w:b/>
          <w:bCs/>
          <w:sz w:val="22"/>
          <w:szCs w:val="22"/>
          <w:vertAlign w:val="superscript"/>
        </w:rPr>
        <w:t xml:space="preserve"> </w:t>
      </w:r>
    </w:p>
    <w:p w14:paraId="329EC88B" w14:textId="77777777" w:rsidR="00FE5DAB" w:rsidRPr="005F5741" w:rsidRDefault="00FE5DAB" w:rsidP="00FE5DAB">
      <w:pPr>
        <w:jc w:val="center"/>
        <w:rPr>
          <w:rFonts w:asciiTheme="minorHAnsi" w:hAnsiTheme="minorHAnsi"/>
          <w:b/>
          <w:bCs/>
          <w:sz w:val="22"/>
          <w:szCs w:val="22"/>
        </w:rPr>
      </w:pPr>
      <w:r w:rsidRPr="00FD2D75">
        <w:rPr>
          <w:rFonts w:asciiTheme="minorHAnsi" w:hAnsiTheme="minorHAnsi"/>
          <w:b/>
          <w:bCs/>
          <w:sz w:val="22"/>
          <w:szCs w:val="22"/>
        </w:rPr>
        <w:t xml:space="preserve">Change of registered office </w:t>
      </w:r>
    </w:p>
    <w:p w14:paraId="10803FB6" w14:textId="77777777" w:rsidR="00FE5DAB" w:rsidRPr="005F5741" w:rsidRDefault="00FE5DAB" w:rsidP="00FE5DAB">
      <w:pPr>
        <w:pStyle w:val="NoSpacing"/>
        <w:rPr>
          <w:rFonts w:asciiTheme="minorHAnsi" w:hAnsiTheme="minorHAnsi"/>
          <w:sz w:val="22"/>
          <w:szCs w:val="22"/>
        </w:rPr>
      </w:pPr>
    </w:p>
    <w:p w14:paraId="2318D9F9" w14:textId="77777777" w:rsidR="00FE5DAB" w:rsidRDefault="00FE5DAB" w:rsidP="00FE5DAB">
      <w:pPr>
        <w:pStyle w:val="NoSpacing"/>
        <w:spacing w:after="120"/>
        <w:rPr>
          <w:rFonts w:asciiTheme="minorHAnsi" w:hAnsiTheme="minorHAnsi"/>
          <w:sz w:val="22"/>
          <w:szCs w:val="22"/>
        </w:rPr>
      </w:pPr>
      <w:r w:rsidRPr="005F5741">
        <w:rPr>
          <w:rFonts w:asciiTheme="minorHAnsi" w:hAnsiTheme="minorHAnsi"/>
          <w:sz w:val="22"/>
          <w:szCs w:val="22"/>
        </w:rPr>
        <w:t>XP Factory</w:t>
      </w:r>
      <w:r>
        <w:rPr>
          <w:rFonts w:asciiTheme="minorHAnsi" w:hAnsiTheme="minorHAnsi"/>
          <w:sz w:val="22"/>
          <w:szCs w:val="22"/>
        </w:rPr>
        <w:t xml:space="preserve"> plc (AIM: XPF)</w:t>
      </w:r>
      <w:r w:rsidRPr="005F5741">
        <w:rPr>
          <w:rFonts w:asciiTheme="minorHAnsi" w:hAnsiTheme="minorHAnsi"/>
          <w:sz w:val="22"/>
          <w:szCs w:val="22"/>
        </w:rPr>
        <w:t xml:space="preserve">, one of the UK’s </w:t>
      </w:r>
      <w:r>
        <w:rPr>
          <w:rFonts w:asciiTheme="minorHAnsi" w:hAnsiTheme="minorHAnsi"/>
          <w:sz w:val="22"/>
          <w:szCs w:val="22"/>
        </w:rPr>
        <w:t>leading</w:t>
      </w:r>
      <w:r w:rsidRPr="005F5741">
        <w:rPr>
          <w:rFonts w:asciiTheme="minorHAnsi" w:hAnsiTheme="minorHAnsi"/>
          <w:sz w:val="22"/>
          <w:szCs w:val="22"/>
        </w:rPr>
        <w:t xml:space="preserve"> experiential leisure businesses</w:t>
      </w:r>
      <w:r>
        <w:rPr>
          <w:rFonts w:asciiTheme="minorHAnsi" w:hAnsiTheme="minorHAnsi"/>
          <w:sz w:val="22"/>
          <w:szCs w:val="22"/>
        </w:rPr>
        <w:t xml:space="preserve">, is pleased to announce that it has today entered into an agreement for </w:t>
      </w:r>
      <w:r w:rsidRPr="00627D6F">
        <w:rPr>
          <w:rFonts w:asciiTheme="minorHAnsi" w:hAnsiTheme="minorHAnsi"/>
          <w:sz w:val="22"/>
          <w:szCs w:val="22"/>
        </w:rPr>
        <w:t>the sale of the entire issued share capital of BBB Franchise Ltd</w:t>
      </w:r>
      <w:r>
        <w:rPr>
          <w:rFonts w:asciiTheme="minorHAnsi" w:hAnsiTheme="minorHAnsi"/>
          <w:sz w:val="22"/>
          <w:szCs w:val="22"/>
        </w:rPr>
        <w:t>, its Boom Battle Bar business (“Boom”), to F.O Twenty-Four Ltd for a total consideration of up to £11m (the “Disposal”).</w:t>
      </w:r>
      <w:r w:rsidRPr="00871F54">
        <w:rPr>
          <w:rFonts w:asciiTheme="minorHAnsi" w:hAnsiTheme="minorHAnsi"/>
          <w:sz w:val="22"/>
          <w:szCs w:val="22"/>
        </w:rPr>
        <w:t xml:space="preserve"> </w:t>
      </w:r>
      <w:r>
        <w:rPr>
          <w:rFonts w:asciiTheme="minorHAnsi" w:hAnsiTheme="minorHAnsi"/>
          <w:sz w:val="22"/>
          <w:szCs w:val="22"/>
        </w:rPr>
        <w:t xml:space="preserve">The Group will receive upfront cash consideration of £5m, used to reduce bank net debt and fund the Group’s working capital position and growth programme, and up to </w:t>
      </w:r>
      <w:r w:rsidRPr="002D3099">
        <w:rPr>
          <w:rFonts w:asciiTheme="minorHAnsi" w:hAnsiTheme="minorHAnsi"/>
          <w:sz w:val="22"/>
          <w:szCs w:val="22"/>
        </w:rPr>
        <w:t>£</w:t>
      </w:r>
      <w:r>
        <w:rPr>
          <w:rFonts w:asciiTheme="minorHAnsi" w:hAnsiTheme="minorHAnsi"/>
          <w:sz w:val="22"/>
          <w:szCs w:val="22"/>
        </w:rPr>
        <w:t xml:space="preserve">6 </w:t>
      </w:r>
      <w:r w:rsidRPr="002D3099">
        <w:rPr>
          <w:rFonts w:asciiTheme="minorHAnsi" w:hAnsiTheme="minorHAnsi"/>
          <w:sz w:val="22"/>
          <w:szCs w:val="22"/>
        </w:rPr>
        <w:t xml:space="preserve">million </w:t>
      </w:r>
      <w:r>
        <w:rPr>
          <w:rFonts w:asciiTheme="minorHAnsi" w:hAnsiTheme="minorHAnsi"/>
          <w:sz w:val="22"/>
          <w:szCs w:val="22"/>
        </w:rPr>
        <w:t>from sales and EBITDA earn-outs over the next three years.</w:t>
      </w:r>
    </w:p>
    <w:p w14:paraId="0B6EE96C" w14:textId="77777777" w:rsidR="00FE5DAB" w:rsidRDefault="00FE5DAB" w:rsidP="00FE5DAB">
      <w:pPr>
        <w:pStyle w:val="NoSpacing"/>
        <w:rPr>
          <w:rFonts w:asciiTheme="minorHAnsi" w:hAnsiTheme="minorHAnsi"/>
          <w:sz w:val="22"/>
          <w:szCs w:val="22"/>
        </w:rPr>
      </w:pPr>
      <w:r w:rsidRPr="00C2058E">
        <w:rPr>
          <w:rFonts w:asciiTheme="minorHAnsi" w:hAnsiTheme="minorHAnsi"/>
          <w:sz w:val="22"/>
          <w:szCs w:val="22"/>
        </w:rPr>
        <w:t>The Disposal represents an important strategic step for XP Factory</w:t>
      </w:r>
      <w:r>
        <w:rPr>
          <w:rFonts w:asciiTheme="minorHAnsi" w:hAnsiTheme="minorHAnsi"/>
          <w:sz w:val="22"/>
          <w:szCs w:val="22"/>
        </w:rPr>
        <w:t xml:space="preserve"> and </w:t>
      </w:r>
      <w:r w:rsidRPr="00C2058E">
        <w:rPr>
          <w:rFonts w:asciiTheme="minorHAnsi" w:hAnsiTheme="minorHAnsi"/>
          <w:sz w:val="22"/>
          <w:szCs w:val="22"/>
        </w:rPr>
        <w:t>reinforc</w:t>
      </w:r>
      <w:r>
        <w:rPr>
          <w:rFonts w:asciiTheme="minorHAnsi" w:hAnsiTheme="minorHAnsi"/>
          <w:sz w:val="22"/>
          <w:szCs w:val="22"/>
        </w:rPr>
        <w:t>es</w:t>
      </w:r>
      <w:r w:rsidRPr="00C2058E">
        <w:rPr>
          <w:rFonts w:asciiTheme="minorHAnsi" w:hAnsiTheme="minorHAnsi"/>
          <w:sz w:val="22"/>
          <w:szCs w:val="22"/>
        </w:rPr>
        <w:t xml:space="preserve"> the Board’s commitment to </w:t>
      </w:r>
      <w:r>
        <w:rPr>
          <w:rFonts w:asciiTheme="minorHAnsi" w:hAnsiTheme="minorHAnsi"/>
          <w:sz w:val="22"/>
          <w:szCs w:val="22"/>
        </w:rPr>
        <w:t xml:space="preserve">disciplined </w:t>
      </w:r>
      <w:r w:rsidRPr="00C2058E">
        <w:rPr>
          <w:rFonts w:asciiTheme="minorHAnsi" w:hAnsiTheme="minorHAnsi"/>
          <w:sz w:val="22"/>
          <w:szCs w:val="22"/>
        </w:rPr>
        <w:t xml:space="preserve">capital </w:t>
      </w:r>
      <w:r>
        <w:rPr>
          <w:rFonts w:asciiTheme="minorHAnsi" w:hAnsiTheme="minorHAnsi"/>
          <w:sz w:val="22"/>
          <w:szCs w:val="22"/>
        </w:rPr>
        <w:t xml:space="preserve">allocation </w:t>
      </w:r>
      <w:r w:rsidRPr="00C2058E">
        <w:rPr>
          <w:rFonts w:asciiTheme="minorHAnsi" w:hAnsiTheme="minorHAnsi"/>
          <w:sz w:val="22"/>
          <w:szCs w:val="22"/>
        </w:rPr>
        <w:t>and returns-led growth</w:t>
      </w:r>
      <w:r>
        <w:rPr>
          <w:rFonts w:asciiTheme="minorHAnsi" w:hAnsiTheme="minorHAnsi"/>
          <w:sz w:val="22"/>
          <w:szCs w:val="22"/>
        </w:rPr>
        <w:t xml:space="preserve"> which in the Board’s view is best served by focusing exclusively on the rollout of the Group’s Escape Hunt brand</w:t>
      </w:r>
      <w:r w:rsidRPr="00C2058E">
        <w:rPr>
          <w:rFonts w:asciiTheme="minorHAnsi" w:hAnsiTheme="minorHAnsi"/>
          <w:sz w:val="22"/>
          <w:szCs w:val="22"/>
        </w:rPr>
        <w:t xml:space="preserve">. </w:t>
      </w:r>
      <w:r>
        <w:rPr>
          <w:rFonts w:asciiTheme="minorHAnsi" w:hAnsiTheme="minorHAnsi"/>
          <w:sz w:val="22"/>
          <w:szCs w:val="22"/>
        </w:rPr>
        <w:t>Following c</w:t>
      </w:r>
      <w:r w:rsidRPr="00C2058E">
        <w:rPr>
          <w:rFonts w:asciiTheme="minorHAnsi" w:hAnsiTheme="minorHAnsi"/>
          <w:sz w:val="22"/>
          <w:szCs w:val="22"/>
        </w:rPr>
        <w:t>ompletion</w:t>
      </w:r>
      <w:r>
        <w:rPr>
          <w:rFonts w:asciiTheme="minorHAnsi" w:hAnsiTheme="minorHAnsi"/>
          <w:sz w:val="22"/>
          <w:szCs w:val="22"/>
        </w:rPr>
        <w:t xml:space="preserve"> of the Disposal</w:t>
      </w:r>
      <w:r w:rsidRPr="00C2058E">
        <w:rPr>
          <w:rFonts w:asciiTheme="minorHAnsi" w:hAnsiTheme="minorHAnsi"/>
          <w:sz w:val="22"/>
          <w:szCs w:val="22"/>
        </w:rPr>
        <w:t xml:space="preserve">, XP Factory </w:t>
      </w:r>
      <w:r>
        <w:rPr>
          <w:rFonts w:asciiTheme="minorHAnsi" w:hAnsiTheme="minorHAnsi"/>
          <w:sz w:val="22"/>
          <w:szCs w:val="22"/>
        </w:rPr>
        <w:t>will have a substantially strengthened balance sheet to support its target of reaching at least 50 UK owned Escape Hunt sites by the end of March 2031.</w:t>
      </w:r>
    </w:p>
    <w:p w14:paraId="38FD7E0C" w14:textId="77777777" w:rsidR="00FE5DAB" w:rsidRDefault="00FE5DAB" w:rsidP="00FE5DAB">
      <w:pPr>
        <w:pStyle w:val="NoSpacing"/>
        <w:rPr>
          <w:rFonts w:asciiTheme="minorHAnsi" w:hAnsiTheme="minorHAnsi"/>
          <w:sz w:val="22"/>
          <w:szCs w:val="22"/>
        </w:rPr>
      </w:pPr>
    </w:p>
    <w:p w14:paraId="6FD95378" w14:textId="77777777" w:rsidR="00FE5DAB" w:rsidRDefault="00FE5DAB" w:rsidP="00FE5DAB">
      <w:pPr>
        <w:pStyle w:val="NoSpacing"/>
        <w:spacing w:after="120"/>
        <w:rPr>
          <w:rFonts w:asciiTheme="minorHAnsi" w:hAnsiTheme="minorHAnsi"/>
          <w:b/>
          <w:bCs/>
          <w:sz w:val="22"/>
          <w:szCs w:val="22"/>
        </w:rPr>
      </w:pPr>
      <w:r>
        <w:rPr>
          <w:rFonts w:asciiTheme="minorHAnsi" w:hAnsiTheme="minorHAnsi"/>
          <w:b/>
          <w:bCs/>
          <w:sz w:val="22"/>
          <w:szCs w:val="22"/>
        </w:rPr>
        <w:t>Strategic rationale</w:t>
      </w:r>
    </w:p>
    <w:p w14:paraId="7F641CE0" w14:textId="77777777" w:rsidR="00FE5DAB" w:rsidRDefault="00FE5DAB" w:rsidP="00FE5DAB">
      <w:pPr>
        <w:pStyle w:val="NoSpacing"/>
        <w:spacing w:after="120"/>
        <w:rPr>
          <w:rFonts w:asciiTheme="minorHAnsi" w:hAnsiTheme="minorHAnsi"/>
          <w:sz w:val="22"/>
          <w:szCs w:val="22"/>
        </w:rPr>
      </w:pPr>
      <w:r w:rsidRPr="00A03167">
        <w:rPr>
          <w:rFonts w:asciiTheme="minorHAnsi" w:hAnsiTheme="minorHAnsi"/>
          <w:sz w:val="22"/>
          <w:szCs w:val="22"/>
        </w:rPr>
        <w:t xml:space="preserve">Escape Hunt’s performance </w:t>
      </w:r>
      <w:r>
        <w:rPr>
          <w:rFonts w:asciiTheme="minorHAnsi" w:hAnsiTheme="minorHAnsi"/>
          <w:sz w:val="22"/>
          <w:szCs w:val="22"/>
        </w:rPr>
        <w:t xml:space="preserve">is highly consistent and is characterised by market leading metrics. </w:t>
      </w:r>
    </w:p>
    <w:p w14:paraId="3EB4A800" w14:textId="77777777" w:rsidR="00FE5DAB" w:rsidRPr="003E1476" w:rsidRDefault="00FE5DAB" w:rsidP="00FE5DAB">
      <w:pPr>
        <w:pStyle w:val="NoSpacing"/>
        <w:numPr>
          <w:ilvl w:val="0"/>
          <w:numId w:val="4"/>
        </w:numPr>
        <w:spacing w:after="120"/>
        <w:rPr>
          <w:rFonts w:asciiTheme="minorHAnsi" w:hAnsiTheme="minorHAnsi"/>
          <w:sz w:val="22"/>
          <w:szCs w:val="22"/>
        </w:rPr>
      </w:pPr>
      <w:r>
        <w:rPr>
          <w:rFonts w:asciiTheme="minorHAnsi" w:hAnsiTheme="minorHAnsi"/>
          <w:sz w:val="22"/>
          <w:szCs w:val="22"/>
        </w:rPr>
        <w:t xml:space="preserve">Average Owner Operated (“O&amp;O”) site adjusted pre-IFRS 16 EBITDA margin of </w:t>
      </w:r>
      <w:r w:rsidRPr="003E1476">
        <w:rPr>
          <w:rFonts w:asciiTheme="minorHAnsi" w:hAnsiTheme="minorHAnsi"/>
          <w:sz w:val="22"/>
          <w:szCs w:val="22"/>
        </w:rPr>
        <w:t>42%</w:t>
      </w:r>
    </w:p>
    <w:p w14:paraId="339DCDC2" w14:textId="3612AB4A" w:rsidR="00FE5DAB" w:rsidRPr="003E1476" w:rsidRDefault="00FE5DAB" w:rsidP="00FE5DAB">
      <w:pPr>
        <w:pStyle w:val="NoSpacing"/>
        <w:numPr>
          <w:ilvl w:val="0"/>
          <w:numId w:val="4"/>
        </w:numPr>
        <w:spacing w:after="120"/>
        <w:rPr>
          <w:rFonts w:asciiTheme="minorHAnsi" w:hAnsiTheme="minorHAnsi"/>
          <w:sz w:val="22"/>
          <w:szCs w:val="22"/>
        </w:rPr>
      </w:pPr>
      <w:r w:rsidRPr="003E1476">
        <w:rPr>
          <w:rFonts w:asciiTheme="minorHAnsi" w:hAnsiTheme="minorHAnsi"/>
          <w:sz w:val="22"/>
          <w:szCs w:val="22"/>
        </w:rPr>
        <w:t>Average mature UK site Return on Invested Capital (“ROIC”) of 51%</w:t>
      </w:r>
      <w:r w:rsidRPr="00FE5DAB">
        <w:rPr>
          <w:rFonts w:asciiTheme="minorHAnsi" w:hAnsiTheme="minorHAnsi"/>
          <w:sz w:val="22"/>
          <w:szCs w:val="22"/>
          <w:vertAlign w:val="superscript"/>
        </w:rPr>
        <w:t>1</w:t>
      </w:r>
    </w:p>
    <w:p w14:paraId="47EB6970" w14:textId="77777777" w:rsidR="00FE5DAB" w:rsidRDefault="00FE5DAB" w:rsidP="00FE5DAB">
      <w:pPr>
        <w:pStyle w:val="NoSpacing"/>
        <w:numPr>
          <w:ilvl w:val="0"/>
          <w:numId w:val="4"/>
        </w:numPr>
        <w:spacing w:after="120"/>
        <w:rPr>
          <w:rFonts w:asciiTheme="minorHAnsi" w:hAnsiTheme="minorHAnsi"/>
          <w:sz w:val="22"/>
          <w:szCs w:val="22"/>
        </w:rPr>
      </w:pPr>
      <w:r>
        <w:rPr>
          <w:rFonts w:asciiTheme="minorHAnsi" w:hAnsiTheme="minorHAnsi"/>
          <w:sz w:val="22"/>
          <w:szCs w:val="22"/>
        </w:rPr>
        <w:t>Consistently strong profitability across the estate, with the</w:t>
      </w:r>
      <w:r w:rsidRPr="003E1476">
        <w:rPr>
          <w:rFonts w:asciiTheme="minorHAnsi" w:hAnsiTheme="minorHAnsi"/>
          <w:sz w:val="22"/>
          <w:szCs w:val="22"/>
        </w:rPr>
        <w:t xml:space="preserve"> lowest performing mature UK site deliver</w:t>
      </w:r>
      <w:r>
        <w:rPr>
          <w:rFonts w:asciiTheme="minorHAnsi" w:hAnsiTheme="minorHAnsi"/>
          <w:sz w:val="22"/>
          <w:szCs w:val="22"/>
        </w:rPr>
        <w:t>ing</w:t>
      </w:r>
      <w:r w:rsidRPr="003E1476">
        <w:rPr>
          <w:rFonts w:asciiTheme="minorHAnsi" w:hAnsiTheme="minorHAnsi"/>
          <w:sz w:val="22"/>
          <w:szCs w:val="22"/>
        </w:rPr>
        <w:t xml:space="preserve"> 19% </w:t>
      </w:r>
      <w:r>
        <w:rPr>
          <w:rFonts w:asciiTheme="minorHAnsi" w:hAnsiTheme="minorHAnsi"/>
          <w:sz w:val="22"/>
          <w:szCs w:val="22"/>
        </w:rPr>
        <w:t>site level adjusted pre-IFRS 16 EBITDA margin in FY26</w:t>
      </w:r>
    </w:p>
    <w:p w14:paraId="2D38BEFC" w14:textId="77777777" w:rsidR="00FE5DAB" w:rsidRPr="00724DF3" w:rsidRDefault="00FE5DAB" w:rsidP="00FE5DAB">
      <w:pPr>
        <w:pStyle w:val="NoSpacing"/>
        <w:spacing w:after="120"/>
        <w:rPr>
          <w:rFonts w:asciiTheme="minorHAnsi" w:hAnsiTheme="minorHAnsi"/>
          <w:sz w:val="22"/>
          <w:szCs w:val="22"/>
        </w:rPr>
      </w:pPr>
      <w:r w:rsidRPr="00724DF3">
        <w:rPr>
          <w:rFonts w:asciiTheme="minorHAnsi" w:hAnsiTheme="minorHAnsi"/>
          <w:sz w:val="22"/>
          <w:szCs w:val="22"/>
        </w:rPr>
        <w:t xml:space="preserve">This performance spans a range of location types and sizes, </w:t>
      </w:r>
      <w:r>
        <w:rPr>
          <w:rFonts w:asciiTheme="minorHAnsi" w:hAnsiTheme="minorHAnsi"/>
          <w:sz w:val="22"/>
          <w:szCs w:val="22"/>
        </w:rPr>
        <w:t>underpinning the Board’s view of the</w:t>
      </w:r>
      <w:r w:rsidRPr="00724DF3">
        <w:rPr>
          <w:rFonts w:asciiTheme="minorHAnsi" w:hAnsiTheme="minorHAnsi"/>
          <w:sz w:val="22"/>
          <w:szCs w:val="22"/>
        </w:rPr>
        <w:t xml:space="preserve"> significant growth opportunity. As the standout market leader in its sector, Escape Hunt’s scale drives important competitive advantages.</w:t>
      </w:r>
      <w:r>
        <w:rPr>
          <w:rFonts w:asciiTheme="minorHAnsi" w:hAnsiTheme="minorHAnsi"/>
          <w:sz w:val="22"/>
          <w:szCs w:val="22"/>
        </w:rPr>
        <w:t xml:space="preserve"> </w:t>
      </w:r>
      <w:r w:rsidRPr="00724DF3">
        <w:rPr>
          <w:rFonts w:asciiTheme="minorHAnsi" w:hAnsiTheme="minorHAnsi"/>
          <w:sz w:val="22"/>
          <w:szCs w:val="22"/>
        </w:rPr>
        <w:t>Against a backdrop of continued consolidation in the wider escape room market, Escape Hunt has further strengthened its position and gained market share. The Board believes there remains a substantial opportunity for disciplined expansion into attractive new locations – with new sites expected to continue to deliver a consistently high ROIC.</w:t>
      </w:r>
    </w:p>
    <w:p w14:paraId="7503A674" w14:textId="4ECD0722" w:rsidR="00FE5DAB" w:rsidRDefault="00FE5DAB" w:rsidP="00FE5DAB">
      <w:pPr>
        <w:pStyle w:val="NoSpacing"/>
        <w:spacing w:after="120"/>
        <w:rPr>
          <w:rFonts w:asciiTheme="minorHAnsi" w:hAnsiTheme="minorHAnsi"/>
          <w:sz w:val="22"/>
          <w:szCs w:val="22"/>
        </w:rPr>
      </w:pPr>
      <w:r>
        <w:rPr>
          <w:rFonts w:asciiTheme="minorHAnsi" w:hAnsiTheme="minorHAnsi"/>
          <w:sz w:val="22"/>
          <w:szCs w:val="22"/>
        </w:rPr>
        <w:t xml:space="preserve">Meanwhile, </w:t>
      </w:r>
      <w:r w:rsidRPr="00B9580C">
        <w:rPr>
          <w:rFonts w:asciiTheme="minorHAnsi" w:hAnsiTheme="minorHAnsi"/>
          <w:sz w:val="22"/>
          <w:szCs w:val="22"/>
        </w:rPr>
        <w:t xml:space="preserve">the competitive socialising market </w:t>
      </w:r>
      <w:r>
        <w:rPr>
          <w:rFonts w:asciiTheme="minorHAnsi" w:hAnsiTheme="minorHAnsi"/>
          <w:sz w:val="22"/>
          <w:szCs w:val="22"/>
        </w:rPr>
        <w:t>is</w:t>
      </w:r>
      <w:r w:rsidRPr="00B9580C">
        <w:rPr>
          <w:rFonts w:asciiTheme="minorHAnsi" w:hAnsiTheme="minorHAnsi"/>
          <w:sz w:val="22"/>
          <w:szCs w:val="22"/>
        </w:rPr>
        <w:t xml:space="preserve"> </w:t>
      </w:r>
      <w:r>
        <w:rPr>
          <w:rFonts w:asciiTheme="minorHAnsi" w:hAnsiTheme="minorHAnsi"/>
          <w:sz w:val="22"/>
          <w:szCs w:val="22"/>
        </w:rPr>
        <w:t>continuing to experience particularly</w:t>
      </w:r>
      <w:r w:rsidRPr="00B9580C">
        <w:rPr>
          <w:rFonts w:asciiTheme="minorHAnsi" w:hAnsiTheme="minorHAnsi"/>
          <w:sz w:val="22"/>
          <w:szCs w:val="22"/>
        </w:rPr>
        <w:t xml:space="preserve"> </w:t>
      </w:r>
      <w:r>
        <w:rPr>
          <w:rFonts w:asciiTheme="minorHAnsi" w:hAnsiTheme="minorHAnsi"/>
          <w:sz w:val="22"/>
          <w:szCs w:val="22"/>
        </w:rPr>
        <w:t>challenging conditions</w:t>
      </w:r>
      <w:r w:rsidRPr="00B9580C">
        <w:rPr>
          <w:rFonts w:asciiTheme="minorHAnsi" w:hAnsiTheme="minorHAnsi"/>
          <w:sz w:val="22"/>
          <w:szCs w:val="22"/>
        </w:rPr>
        <w:t>, with sector like-for-like revenue declining by approximately 9% during FY26</w:t>
      </w:r>
      <w:r w:rsidRPr="00FE5DAB">
        <w:rPr>
          <w:rFonts w:asciiTheme="minorHAnsi" w:hAnsiTheme="minorHAnsi"/>
          <w:sz w:val="22"/>
          <w:szCs w:val="22"/>
          <w:vertAlign w:val="superscript"/>
        </w:rPr>
        <w:t>2</w:t>
      </w:r>
      <w:r>
        <w:rPr>
          <w:rFonts w:asciiTheme="minorHAnsi" w:hAnsiTheme="minorHAnsi"/>
          <w:sz w:val="22"/>
          <w:szCs w:val="22"/>
        </w:rPr>
        <w:t xml:space="preserve"> and trends continuing into FY27</w:t>
      </w:r>
      <w:r w:rsidRPr="00B9580C">
        <w:rPr>
          <w:rFonts w:asciiTheme="minorHAnsi" w:hAnsiTheme="minorHAnsi"/>
          <w:sz w:val="22"/>
          <w:szCs w:val="22"/>
        </w:rPr>
        <w:t xml:space="preserve">. </w:t>
      </w:r>
      <w:r>
        <w:rPr>
          <w:rFonts w:asciiTheme="minorHAnsi" w:hAnsiTheme="minorHAnsi"/>
          <w:sz w:val="22"/>
          <w:szCs w:val="22"/>
        </w:rPr>
        <w:t xml:space="preserve">The impact of these revenue headwinds, alongside government-mandated increases in labour costs and supplier inflation, have impacted profitability. The Board believes Boom remains well positioned as industry consolidation accelerates, but the timing and pace of a broader market recovery </w:t>
      </w:r>
      <w:proofErr w:type="gramStart"/>
      <w:r>
        <w:rPr>
          <w:rFonts w:asciiTheme="minorHAnsi" w:hAnsiTheme="minorHAnsi"/>
          <w:sz w:val="22"/>
          <w:szCs w:val="22"/>
        </w:rPr>
        <w:t>remains</w:t>
      </w:r>
      <w:proofErr w:type="gramEnd"/>
      <w:r>
        <w:rPr>
          <w:rFonts w:asciiTheme="minorHAnsi" w:hAnsiTheme="minorHAnsi"/>
          <w:sz w:val="22"/>
          <w:szCs w:val="22"/>
        </w:rPr>
        <w:t xml:space="preserve"> uncertain. </w:t>
      </w:r>
    </w:p>
    <w:p w14:paraId="2815B956" w14:textId="77777777" w:rsidR="00FE5DAB" w:rsidRDefault="00FE5DAB" w:rsidP="00FE5DAB">
      <w:pPr>
        <w:pStyle w:val="NoSpacing"/>
        <w:rPr>
          <w:rFonts w:asciiTheme="minorHAnsi" w:hAnsiTheme="minorHAnsi"/>
          <w:sz w:val="22"/>
          <w:szCs w:val="22"/>
        </w:rPr>
      </w:pPr>
      <w:r>
        <w:rPr>
          <w:rFonts w:asciiTheme="minorHAnsi" w:hAnsiTheme="minorHAnsi"/>
          <w:sz w:val="22"/>
          <w:szCs w:val="22"/>
        </w:rPr>
        <w:t>A</w:t>
      </w:r>
      <w:r w:rsidRPr="00076C96">
        <w:rPr>
          <w:rFonts w:asciiTheme="minorHAnsi" w:hAnsiTheme="minorHAnsi"/>
          <w:sz w:val="22"/>
          <w:szCs w:val="22"/>
        </w:rPr>
        <w:t>gainst this backdrop, the Board believes Boom is better positioned under private ownership, where the business can navigate near-term market volatility while continuing to invest for the longer-term opportunity</w:t>
      </w:r>
      <w:r>
        <w:rPr>
          <w:rFonts w:asciiTheme="minorHAnsi" w:hAnsiTheme="minorHAnsi"/>
          <w:sz w:val="22"/>
          <w:szCs w:val="22"/>
        </w:rPr>
        <w:t>.</w:t>
      </w:r>
      <w:r w:rsidRPr="00A80B29">
        <w:rPr>
          <w:rFonts w:ascii="Times New Roman" w:eastAsia="Times New Roman" w:hAnsi="Times New Roman" w:cs="Times New Roman"/>
          <w:sz w:val="24"/>
          <w:szCs w:val="24"/>
          <w:lang w:eastAsia="en-GB"/>
        </w:rPr>
        <w:t xml:space="preserve"> </w:t>
      </w:r>
      <w:r w:rsidRPr="00A80B29">
        <w:rPr>
          <w:rFonts w:asciiTheme="minorHAnsi" w:hAnsiTheme="minorHAnsi"/>
          <w:sz w:val="22"/>
          <w:szCs w:val="22"/>
        </w:rPr>
        <w:t xml:space="preserve">The purchaser is backed by Frasers Group and </w:t>
      </w:r>
      <w:r w:rsidRPr="00B6647C">
        <w:rPr>
          <w:rFonts w:asciiTheme="minorHAnsi" w:hAnsiTheme="minorHAnsi"/>
          <w:sz w:val="22"/>
          <w:szCs w:val="22"/>
        </w:rPr>
        <w:t>includes Boom’s original founders, who bring a deep understanding of the business and its market</w:t>
      </w:r>
      <w:r w:rsidRPr="00A80B29">
        <w:rPr>
          <w:rFonts w:asciiTheme="minorHAnsi" w:hAnsiTheme="minorHAnsi"/>
          <w:sz w:val="22"/>
          <w:szCs w:val="22"/>
        </w:rPr>
        <w:t xml:space="preserve">. The Board believes </w:t>
      </w:r>
      <w:r w:rsidRPr="00A80B29">
        <w:rPr>
          <w:rFonts w:asciiTheme="minorHAnsi" w:hAnsiTheme="minorHAnsi"/>
          <w:sz w:val="22"/>
          <w:szCs w:val="22"/>
        </w:rPr>
        <w:lastRenderedPageBreak/>
        <w:t xml:space="preserve">this combination of </w:t>
      </w:r>
      <w:r w:rsidRPr="00B6647C">
        <w:rPr>
          <w:rFonts w:asciiTheme="minorHAnsi" w:hAnsiTheme="minorHAnsi"/>
          <w:sz w:val="22"/>
          <w:szCs w:val="22"/>
        </w:rPr>
        <w:t>experience, knowledge and access to capital</w:t>
      </w:r>
      <w:r w:rsidRPr="00A80B29">
        <w:rPr>
          <w:rFonts w:asciiTheme="minorHAnsi" w:hAnsiTheme="minorHAnsi"/>
          <w:sz w:val="22"/>
          <w:szCs w:val="22"/>
        </w:rPr>
        <w:t xml:space="preserve"> provides a strong platform to support Boom’s continued development and future growth.</w:t>
      </w:r>
    </w:p>
    <w:p w14:paraId="6473E232" w14:textId="77777777" w:rsidR="00FE5DAB" w:rsidRDefault="00FE5DAB" w:rsidP="00FE5DAB">
      <w:pPr>
        <w:pStyle w:val="NoSpacing"/>
        <w:spacing w:after="120"/>
        <w:rPr>
          <w:rFonts w:asciiTheme="minorHAnsi" w:hAnsiTheme="minorHAnsi"/>
          <w:sz w:val="22"/>
          <w:szCs w:val="22"/>
        </w:rPr>
      </w:pPr>
    </w:p>
    <w:p w14:paraId="4CB97CB8" w14:textId="77777777" w:rsidR="00FE5DAB" w:rsidRPr="000741BB" w:rsidRDefault="00FE5DAB" w:rsidP="00FE5DAB">
      <w:pPr>
        <w:pStyle w:val="NoSpacing"/>
        <w:spacing w:after="120"/>
        <w:rPr>
          <w:rFonts w:asciiTheme="minorHAnsi" w:hAnsiTheme="minorHAnsi"/>
          <w:sz w:val="22"/>
          <w:szCs w:val="22"/>
        </w:rPr>
      </w:pPr>
      <w:r>
        <w:rPr>
          <w:rFonts w:asciiTheme="minorHAnsi" w:hAnsiTheme="minorHAnsi"/>
          <w:sz w:val="22"/>
          <w:szCs w:val="22"/>
        </w:rPr>
        <w:t xml:space="preserve">Following completion of the Disposal, </w:t>
      </w:r>
      <w:r w:rsidRPr="000741BB">
        <w:rPr>
          <w:rFonts w:asciiTheme="minorHAnsi" w:hAnsiTheme="minorHAnsi"/>
          <w:sz w:val="22"/>
          <w:szCs w:val="22"/>
        </w:rPr>
        <w:t>the Group is targeting to deliver the following by the end of FY27:</w:t>
      </w:r>
    </w:p>
    <w:p w14:paraId="02F26F8C" w14:textId="77777777" w:rsidR="00FE5DAB" w:rsidRDefault="00FE5DAB" w:rsidP="00FE5DAB">
      <w:pPr>
        <w:pStyle w:val="NoSpacing"/>
        <w:numPr>
          <w:ilvl w:val="0"/>
          <w:numId w:val="3"/>
        </w:numPr>
        <w:spacing w:after="120"/>
        <w:rPr>
          <w:rFonts w:asciiTheme="minorHAnsi" w:hAnsiTheme="minorHAnsi"/>
          <w:sz w:val="22"/>
          <w:szCs w:val="22"/>
        </w:rPr>
      </w:pPr>
      <w:r>
        <w:rPr>
          <w:rFonts w:asciiTheme="minorHAnsi" w:hAnsiTheme="minorHAnsi"/>
          <w:sz w:val="22"/>
          <w:szCs w:val="22"/>
        </w:rPr>
        <w:t>At least 28 UK owned sites open (FY26: 24)</w:t>
      </w:r>
    </w:p>
    <w:p w14:paraId="29ADF307" w14:textId="77777777" w:rsidR="00FE5DAB" w:rsidRDefault="00FE5DAB" w:rsidP="00FE5DAB">
      <w:pPr>
        <w:pStyle w:val="NoSpacing"/>
        <w:numPr>
          <w:ilvl w:val="0"/>
          <w:numId w:val="3"/>
        </w:numPr>
        <w:spacing w:after="120"/>
        <w:rPr>
          <w:rFonts w:asciiTheme="minorHAnsi" w:hAnsiTheme="minorHAnsi"/>
          <w:sz w:val="22"/>
          <w:szCs w:val="22"/>
        </w:rPr>
      </w:pPr>
      <w:r>
        <w:rPr>
          <w:rFonts w:asciiTheme="minorHAnsi" w:hAnsiTheme="minorHAnsi"/>
          <w:sz w:val="22"/>
          <w:szCs w:val="22"/>
        </w:rPr>
        <w:t xml:space="preserve">Run rate sales of no less than £18.5m (FY26: £16.2m) </w:t>
      </w:r>
    </w:p>
    <w:p w14:paraId="11510A9F" w14:textId="77777777" w:rsidR="00FE5DAB" w:rsidRDefault="00FE5DAB" w:rsidP="00FE5DAB">
      <w:pPr>
        <w:pStyle w:val="NoSpacing"/>
        <w:numPr>
          <w:ilvl w:val="0"/>
          <w:numId w:val="3"/>
        </w:numPr>
        <w:spacing w:after="120"/>
        <w:rPr>
          <w:rFonts w:asciiTheme="minorHAnsi" w:hAnsiTheme="minorHAnsi"/>
          <w:sz w:val="22"/>
          <w:szCs w:val="22"/>
        </w:rPr>
      </w:pPr>
      <w:r>
        <w:rPr>
          <w:rFonts w:asciiTheme="minorHAnsi" w:hAnsiTheme="minorHAnsi"/>
          <w:sz w:val="22"/>
          <w:szCs w:val="22"/>
        </w:rPr>
        <w:t>Run rate central costs of no more than £4m (FY26: £8.9m)</w:t>
      </w:r>
    </w:p>
    <w:p w14:paraId="6D112D48" w14:textId="77777777" w:rsidR="00FE5DAB" w:rsidRDefault="00FE5DAB" w:rsidP="00FE5DAB">
      <w:pPr>
        <w:pStyle w:val="NoSpacing"/>
        <w:numPr>
          <w:ilvl w:val="0"/>
          <w:numId w:val="3"/>
        </w:numPr>
        <w:spacing w:after="120"/>
        <w:rPr>
          <w:rFonts w:asciiTheme="minorHAnsi" w:hAnsiTheme="minorHAnsi"/>
          <w:sz w:val="22"/>
          <w:szCs w:val="22"/>
        </w:rPr>
      </w:pPr>
      <w:r>
        <w:rPr>
          <w:rFonts w:asciiTheme="minorHAnsi" w:hAnsiTheme="minorHAnsi"/>
          <w:sz w:val="22"/>
          <w:szCs w:val="22"/>
        </w:rPr>
        <w:t>Run rate Group EBITDA of at least £4m</w:t>
      </w:r>
    </w:p>
    <w:p w14:paraId="470313D9" w14:textId="77777777" w:rsidR="00FE5DAB" w:rsidRDefault="00FE5DAB" w:rsidP="00FE5DAB">
      <w:pPr>
        <w:pStyle w:val="NoSpacing"/>
        <w:spacing w:after="120"/>
        <w:rPr>
          <w:rFonts w:asciiTheme="minorHAnsi" w:hAnsiTheme="minorHAnsi"/>
          <w:sz w:val="22"/>
          <w:szCs w:val="22"/>
        </w:rPr>
      </w:pPr>
    </w:p>
    <w:p w14:paraId="5C1D4CDD" w14:textId="77777777" w:rsidR="00FE5DAB" w:rsidRDefault="00FE5DAB" w:rsidP="00FE5DAB">
      <w:pPr>
        <w:pStyle w:val="NoSpacing"/>
        <w:spacing w:after="120"/>
        <w:rPr>
          <w:rFonts w:asciiTheme="minorHAnsi" w:hAnsiTheme="minorHAnsi"/>
          <w:sz w:val="22"/>
          <w:szCs w:val="22"/>
        </w:rPr>
      </w:pPr>
      <w:r>
        <w:rPr>
          <w:rFonts w:asciiTheme="minorHAnsi" w:hAnsiTheme="minorHAnsi"/>
          <w:sz w:val="22"/>
          <w:szCs w:val="22"/>
        </w:rPr>
        <w:t>In addition, the Group will target the following by the end of FY31:</w:t>
      </w:r>
    </w:p>
    <w:p w14:paraId="6B1A9CBD" w14:textId="77777777" w:rsidR="00FE5DAB" w:rsidRDefault="00FE5DAB" w:rsidP="00FE5DAB">
      <w:pPr>
        <w:pStyle w:val="NoSpacing"/>
        <w:numPr>
          <w:ilvl w:val="0"/>
          <w:numId w:val="3"/>
        </w:numPr>
        <w:spacing w:after="120"/>
        <w:rPr>
          <w:rFonts w:asciiTheme="minorHAnsi" w:hAnsiTheme="minorHAnsi"/>
          <w:sz w:val="22"/>
          <w:szCs w:val="22"/>
        </w:rPr>
      </w:pPr>
      <w:r>
        <w:rPr>
          <w:rFonts w:asciiTheme="minorHAnsi" w:hAnsiTheme="minorHAnsi"/>
          <w:sz w:val="22"/>
          <w:szCs w:val="22"/>
        </w:rPr>
        <w:t xml:space="preserve">At least </w:t>
      </w:r>
      <w:r w:rsidRPr="00E12E1F">
        <w:rPr>
          <w:rFonts w:asciiTheme="minorHAnsi" w:hAnsiTheme="minorHAnsi"/>
          <w:sz w:val="22"/>
          <w:szCs w:val="22"/>
        </w:rPr>
        <w:t>50 UK owned sites</w:t>
      </w:r>
      <w:r>
        <w:rPr>
          <w:rFonts w:asciiTheme="minorHAnsi" w:hAnsiTheme="minorHAnsi"/>
          <w:sz w:val="22"/>
          <w:szCs w:val="22"/>
        </w:rPr>
        <w:t xml:space="preserve">, with long-term potential of 100+ sites </w:t>
      </w:r>
      <w:r w:rsidRPr="00E12E1F">
        <w:rPr>
          <w:rFonts w:asciiTheme="minorHAnsi" w:hAnsiTheme="minorHAnsi"/>
          <w:sz w:val="22"/>
          <w:szCs w:val="22"/>
        </w:rPr>
        <w:t xml:space="preserve">  </w:t>
      </w:r>
    </w:p>
    <w:p w14:paraId="76FBF26C" w14:textId="77777777" w:rsidR="00FE5DAB" w:rsidRDefault="00FE5DAB" w:rsidP="00FE5DAB">
      <w:pPr>
        <w:pStyle w:val="NoSpacing"/>
        <w:numPr>
          <w:ilvl w:val="0"/>
          <w:numId w:val="3"/>
        </w:numPr>
        <w:spacing w:after="120"/>
        <w:rPr>
          <w:rFonts w:asciiTheme="minorHAnsi" w:hAnsiTheme="minorHAnsi"/>
          <w:sz w:val="22"/>
          <w:szCs w:val="22"/>
        </w:rPr>
      </w:pPr>
      <w:r>
        <w:rPr>
          <w:rFonts w:asciiTheme="minorHAnsi" w:hAnsiTheme="minorHAnsi"/>
          <w:sz w:val="22"/>
          <w:szCs w:val="22"/>
        </w:rPr>
        <w:t>Sales of no less than £30m</w:t>
      </w:r>
    </w:p>
    <w:p w14:paraId="3A900B80" w14:textId="77777777" w:rsidR="00FE5DAB" w:rsidRDefault="00FE5DAB" w:rsidP="00FE5DAB">
      <w:pPr>
        <w:pStyle w:val="NoSpacing"/>
        <w:numPr>
          <w:ilvl w:val="0"/>
          <w:numId w:val="3"/>
        </w:numPr>
        <w:spacing w:after="120"/>
        <w:rPr>
          <w:rFonts w:asciiTheme="minorHAnsi" w:hAnsiTheme="minorHAnsi"/>
          <w:sz w:val="22"/>
          <w:szCs w:val="22"/>
        </w:rPr>
      </w:pPr>
      <w:r>
        <w:rPr>
          <w:rFonts w:asciiTheme="minorHAnsi" w:hAnsiTheme="minorHAnsi"/>
          <w:sz w:val="22"/>
          <w:szCs w:val="22"/>
        </w:rPr>
        <w:t xml:space="preserve">Group EBITDA of at least £8m </w:t>
      </w:r>
    </w:p>
    <w:p w14:paraId="4316077D" w14:textId="77777777" w:rsidR="00FE5DAB" w:rsidRDefault="00FE5DAB" w:rsidP="00FE5DAB">
      <w:pPr>
        <w:pStyle w:val="NoSpacing"/>
        <w:numPr>
          <w:ilvl w:val="0"/>
          <w:numId w:val="3"/>
        </w:numPr>
        <w:spacing w:after="120"/>
        <w:rPr>
          <w:rFonts w:asciiTheme="minorHAnsi" w:hAnsiTheme="minorHAnsi"/>
          <w:sz w:val="22"/>
          <w:szCs w:val="22"/>
        </w:rPr>
      </w:pPr>
      <w:r>
        <w:rPr>
          <w:rFonts w:asciiTheme="minorHAnsi" w:hAnsiTheme="minorHAnsi"/>
          <w:sz w:val="22"/>
          <w:szCs w:val="22"/>
        </w:rPr>
        <w:t>Maintaining net debt to EBITDA of no more than 1.5x from the end of FY27</w:t>
      </w:r>
    </w:p>
    <w:p w14:paraId="3F2A2605" w14:textId="77777777" w:rsidR="00FE5DAB" w:rsidRDefault="00FE5DAB" w:rsidP="00FE5DAB">
      <w:pPr>
        <w:pStyle w:val="FootnoteText"/>
      </w:pPr>
    </w:p>
    <w:p w14:paraId="4F015EF7" w14:textId="77777777" w:rsidR="00FE5DAB" w:rsidRPr="00554452" w:rsidRDefault="00FE5DAB" w:rsidP="00FE5DAB">
      <w:pPr>
        <w:pStyle w:val="FootnoteText"/>
        <w:rPr>
          <w:sz w:val="18"/>
          <w:szCs w:val="18"/>
        </w:rPr>
      </w:pPr>
      <w:r w:rsidRPr="00554452">
        <w:rPr>
          <w:sz w:val="18"/>
          <w:szCs w:val="18"/>
        </w:rPr>
        <w:t>1. Site adjusted pre-IFRS EBITDA divided by new build capex, net of landlord contributions, all UK sites open for at least 1 year</w:t>
      </w:r>
    </w:p>
    <w:p w14:paraId="02A4F8B5" w14:textId="77777777" w:rsidR="00FE5DAB" w:rsidRPr="00554452" w:rsidRDefault="00FE5DAB" w:rsidP="00FE5DAB">
      <w:pPr>
        <w:pStyle w:val="NoSpacing"/>
        <w:spacing w:after="120"/>
        <w:rPr>
          <w:rFonts w:asciiTheme="minorHAnsi" w:hAnsiTheme="minorHAnsi"/>
        </w:rPr>
      </w:pPr>
      <w:r w:rsidRPr="00554452">
        <w:rPr>
          <w:sz w:val="18"/>
          <w:szCs w:val="18"/>
        </w:rPr>
        <w:t>2. Source: CGA RSM Hospitality tracker, average weekly LFL for Experiential Venues for the 52 weeks to 29 March 2026</w:t>
      </w:r>
    </w:p>
    <w:p w14:paraId="0DE5FC77" w14:textId="77777777" w:rsidR="00FE5DAB" w:rsidRPr="005F5741" w:rsidRDefault="00FE5DAB" w:rsidP="00FE5DAB">
      <w:pPr>
        <w:pStyle w:val="NoSpacing"/>
        <w:rPr>
          <w:rFonts w:asciiTheme="minorHAnsi" w:hAnsiTheme="minorHAnsi"/>
          <w:sz w:val="22"/>
          <w:szCs w:val="22"/>
        </w:rPr>
      </w:pPr>
    </w:p>
    <w:p w14:paraId="4B132A5D" w14:textId="77777777" w:rsidR="00FE5DAB" w:rsidRDefault="00FE5DAB" w:rsidP="00FE5DAB">
      <w:pPr>
        <w:pStyle w:val="NoSpacing"/>
        <w:spacing w:after="120"/>
        <w:rPr>
          <w:rFonts w:asciiTheme="minorHAnsi" w:eastAsia="Times New Roman" w:hAnsiTheme="minorHAnsi" w:cs="Calibri"/>
          <w:b/>
          <w:bCs/>
          <w:color w:val="212721"/>
          <w:sz w:val="22"/>
          <w:szCs w:val="22"/>
          <w:lang w:eastAsia="en-GB"/>
        </w:rPr>
      </w:pPr>
      <w:r>
        <w:rPr>
          <w:rFonts w:asciiTheme="minorHAnsi" w:eastAsia="Times New Roman" w:hAnsiTheme="minorHAnsi" w:cs="Calibri"/>
          <w:b/>
          <w:bCs/>
          <w:color w:val="212721"/>
          <w:sz w:val="22"/>
          <w:szCs w:val="22"/>
          <w:lang w:eastAsia="en-GB"/>
        </w:rPr>
        <w:t>Transaction details</w:t>
      </w:r>
    </w:p>
    <w:p w14:paraId="394D070E" w14:textId="572C7396" w:rsidR="00FE5DAB" w:rsidRDefault="00FE5DAB" w:rsidP="00FE5DAB">
      <w:pPr>
        <w:pStyle w:val="NoSpacing"/>
        <w:numPr>
          <w:ilvl w:val="0"/>
          <w:numId w:val="2"/>
        </w:numPr>
        <w:spacing w:after="120"/>
        <w:rPr>
          <w:rFonts w:asciiTheme="minorHAnsi" w:hAnsiTheme="minorHAnsi"/>
          <w:sz w:val="22"/>
          <w:szCs w:val="22"/>
        </w:rPr>
      </w:pPr>
      <w:r>
        <w:rPr>
          <w:rFonts w:asciiTheme="minorHAnsi" w:hAnsiTheme="minorHAnsi"/>
          <w:sz w:val="22"/>
          <w:szCs w:val="22"/>
        </w:rPr>
        <w:t>Completion effective with signing on 2</w:t>
      </w:r>
      <w:r w:rsidR="00BC2D6C">
        <w:rPr>
          <w:rFonts w:asciiTheme="minorHAnsi" w:hAnsiTheme="minorHAnsi"/>
          <w:sz w:val="22"/>
          <w:szCs w:val="22"/>
        </w:rPr>
        <w:t>8</w:t>
      </w:r>
      <w:r>
        <w:rPr>
          <w:rFonts w:asciiTheme="minorHAnsi" w:hAnsiTheme="minorHAnsi"/>
          <w:sz w:val="22"/>
          <w:szCs w:val="22"/>
        </w:rPr>
        <w:t xml:space="preserve"> September</w:t>
      </w:r>
    </w:p>
    <w:p w14:paraId="5B1472AF" w14:textId="77777777" w:rsidR="00FE5DAB" w:rsidRPr="002D3099" w:rsidRDefault="00FE5DAB" w:rsidP="00FE5DAB">
      <w:pPr>
        <w:pStyle w:val="NoSpacing"/>
        <w:numPr>
          <w:ilvl w:val="0"/>
          <w:numId w:val="2"/>
        </w:numPr>
        <w:spacing w:after="120"/>
        <w:rPr>
          <w:rFonts w:asciiTheme="minorHAnsi" w:hAnsiTheme="minorHAnsi"/>
          <w:sz w:val="22"/>
          <w:szCs w:val="22"/>
        </w:rPr>
      </w:pPr>
      <w:r w:rsidRPr="002D3099">
        <w:rPr>
          <w:rFonts w:asciiTheme="minorHAnsi" w:hAnsiTheme="minorHAnsi"/>
          <w:sz w:val="22"/>
          <w:szCs w:val="22"/>
        </w:rPr>
        <w:t>Total consideration of up to £11m, comprising:</w:t>
      </w:r>
    </w:p>
    <w:p w14:paraId="3A80922B" w14:textId="77777777" w:rsidR="00FE5DAB" w:rsidRPr="002D3099" w:rsidRDefault="00FE5DAB" w:rsidP="00FE5DAB">
      <w:pPr>
        <w:pStyle w:val="NoSpacing"/>
        <w:numPr>
          <w:ilvl w:val="1"/>
          <w:numId w:val="2"/>
        </w:numPr>
        <w:spacing w:after="120"/>
        <w:rPr>
          <w:rFonts w:asciiTheme="minorHAnsi" w:hAnsiTheme="minorHAnsi"/>
          <w:sz w:val="22"/>
          <w:szCs w:val="22"/>
        </w:rPr>
      </w:pPr>
      <w:r w:rsidRPr="002D3099">
        <w:rPr>
          <w:rFonts w:asciiTheme="minorHAnsi" w:hAnsiTheme="minorHAnsi"/>
          <w:sz w:val="22"/>
          <w:szCs w:val="22"/>
        </w:rPr>
        <w:t xml:space="preserve">£5m in cash payable on </w:t>
      </w:r>
      <w:r>
        <w:rPr>
          <w:rFonts w:asciiTheme="minorHAnsi" w:hAnsiTheme="minorHAnsi"/>
          <w:sz w:val="22"/>
          <w:szCs w:val="22"/>
        </w:rPr>
        <w:t>c</w:t>
      </w:r>
      <w:r w:rsidRPr="002D3099">
        <w:rPr>
          <w:rFonts w:asciiTheme="minorHAnsi" w:hAnsiTheme="minorHAnsi"/>
          <w:sz w:val="22"/>
          <w:szCs w:val="22"/>
        </w:rPr>
        <w:t>ompletion;</w:t>
      </w:r>
    </w:p>
    <w:p w14:paraId="7174595B" w14:textId="55ADC912" w:rsidR="00FE5DAB" w:rsidRDefault="00BC2D6C" w:rsidP="00FE5DAB">
      <w:pPr>
        <w:pStyle w:val="NoSpacing"/>
        <w:numPr>
          <w:ilvl w:val="1"/>
          <w:numId w:val="2"/>
        </w:numPr>
        <w:spacing w:after="120"/>
        <w:rPr>
          <w:rFonts w:asciiTheme="minorHAnsi" w:hAnsiTheme="minorHAnsi"/>
          <w:sz w:val="22"/>
          <w:szCs w:val="22"/>
        </w:rPr>
      </w:pPr>
      <w:r>
        <w:rPr>
          <w:rFonts w:asciiTheme="minorHAnsi" w:hAnsiTheme="minorHAnsi"/>
          <w:sz w:val="22"/>
          <w:szCs w:val="22"/>
        </w:rPr>
        <w:t>U</w:t>
      </w:r>
      <w:r w:rsidR="00FE5DAB" w:rsidRPr="002D3099">
        <w:rPr>
          <w:rFonts w:asciiTheme="minorHAnsi" w:hAnsiTheme="minorHAnsi"/>
          <w:sz w:val="22"/>
          <w:szCs w:val="22"/>
        </w:rPr>
        <w:t>p to £</w:t>
      </w:r>
      <w:r w:rsidR="00FE5DAB">
        <w:rPr>
          <w:rFonts w:asciiTheme="minorHAnsi" w:hAnsiTheme="minorHAnsi"/>
          <w:sz w:val="22"/>
          <w:szCs w:val="22"/>
        </w:rPr>
        <w:t>4m</w:t>
      </w:r>
      <w:r w:rsidR="00FE5DAB" w:rsidRPr="002D3099">
        <w:rPr>
          <w:rFonts w:asciiTheme="minorHAnsi" w:hAnsiTheme="minorHAnsi"/>
          <w:sz w:val="22"/>
          <w:szCs w:val="22"/>
        </w:rPr>
        <w:t xml:space="preserve"> of additional consideration linked to Boom's </w:t>
      </w:r>
      <w:r w:rsidR="00FE5DAB">
        <w:rPr>
          <w:rFonts w:asciiTheme="minorHAnsi" w:hAnsiTheme="minorHAnsi"/>
          <w:sz w:val="22"/>
          <w:szCs w:val="22"/>
        </w:rPr>
        <w:t xml:space="preserve">like-for-like </w:t>
      </w:r>
      <w:r w:rsidR="00FE5DAB" w:rsidRPr="002D3099">
        <w:rPr>
          <w:rFonts w:asciiTheme="minorHAnsi" w:hAnsiTheme="minorHAnsi"/>
          <w:sz w:val="22"/>
          <w:szCs w:val="22"/>
        </w:rPr>
        <w:t>sales performance</w:t>
      </w:r>
      <w:r w:rsidR="00FE5DAB">
        <w:rPr>
          <w:rFonts w:asciiTheme="minorHAnsi" w:hAnsiTheme="minorHAnsi"/>
          <w:sz w:val="22"/>
          <w:szCs w:val="22"/>
        </w:rPr>
        <w:t xml:space="preserve"> with payments commencing above a threshold of ~-10% LFL growth compared to the FY26 revenue baseline;</w:t>
      </w:r>
    </w:p>
    <w:p w14:paraId="1794DAD1" w14:textId="77777777" w:rsidR="00FE5DAB" w:rsidRDefault="00FE5DAB" w:rsidP="00FE5DAB">
      <w:pPr>
        <w:pStyle w:val="NoSpacing"/>
        <w:numPr>
          <w:ilvl w:val="2"/>
          <w:numId w:val="2"/>
        </w:numPr>
        <w:spacing w:after="120"/>
        <w:rPr>
          <w:rFonts w:asciiTheme="minorHAnsi" w:hAnsiTheme="minorHAnsi"/>
          <w:sz w:val="22"/>
          <w:szCs w:val="22"/>
        </w:rPr>
      </w:pPr>
      <w:r>
        <w:rPr>
          <w:rFonts w:asciiTheme="minorHAnsi" w:hAnsiTheme="minorHAnsi"/>
          <w:sz w:val="22"/>
          <w:szCs w:val="22"/>
        </w:rPr>
        <w:t>Up to £1.5m contingent on sales performance in calendar Q4 2026, payable in January 2027</w:t>
      </w:r>
    </w:p>
    <w:p w14:paraId="449B46FD" w14:textId="77777777" w:rsidR="00FE5DAB" w:rsidRDefault="00FE5DAB" w:rsidP="00FE5DAB">
      <w:pPr>
        <w:pStyle w:val="NoSpacing"/>
        <w:numPr>
          <w:ilvl w:val="2"/>
          <w:numId w:val="2"/>
        </w:numPr>
        <w:spacing w:after="120"/>
        <w:rPr>
          <w:rFonts w:asciiTheme="minorHAnsi" w:hAnsiTheme="minorHAnsi"/>
          <w:sz w:val="22"/>
          <w:szCs w:val="22"/>
        </w:rPr>
      </w:pPr>
      <w:r>
        <w:rPr>
          <w:rFonts w:asciiTheme="minorHAnsi" w:hAnsiTheme="minorHAnsi"/>
          <w:sz w:val="22"/>
          <w:szCs w:val="22"/>
        </w:rPr>
        <w:t>Up to £1.25m contingent on sales performance in calendar 2027, payable in January 2028</w:t>
      </w:r>
    </w:p>
    <w:p w14:paraId="13FF2131" w14:textId="77777777" w:rsidR="00FE5DAB" w:rsidRPr="00E4364C" w:rsidRDefault="00FE5DAB" w:rsidP="00FE5DAB">
      <w:pPr>
        <w:pStyle w:val="NoSpacing"/>
        <w:numPr>
          <w:ilvl w:val="2"/>
          <w:numId w:val="2"/>
        </w:numPr>
        <w:spacing w:after="120"/>
        <w:rPr>
          <w:rFonts w:asciiTheme="minorHAnsi" w:hAnsiTheme="minorHAnsi"/>
          <w:sz w:val="22"/>
          <w:szCs w:val="22"/>
        </w:rPr>
      </w:pPr>
      <w:r>
        <w:rPr>
          <w:rFonts w:asciiTheme="minorHAnsi" w:hAnsiTheme="minorHAnsi"/>
          <w:sz w:val="22"/>
          <w:szCs w:val="22"/>
        </w:rPr>
        <w:t>Up to £1.25m contingent on sales performance in calendar 2028, payable in January 2029</w:t>
      </w:r>
    </w:p>
    <w:p w14:paraId="3DA92101" w14:textId="49F655AD" w:rsidR="00FE5DAB" w:rsidRDefault="00BC2D6C" w:rsidP="00FE5DAB">
      <w:pPr>
        <w:pStyle w:val="NoSpacing"/>
        <w:numPr>
          <w:ilvl w:val="1"/>
          <w:numId w:val="2"/>
        </w:numPr>
        <w:spacing w:after="120"/>
        <w:rPr>
          <w:rFonts w:asciiTheme="minorHAnsi" w:hAnsiTheme="minorHAnsi"/>
          <w:sz w:val="22"/>
          <w:szCs w:val="22"/>
        </w:rPr>
      </w:pPr>
      <w:r>
        <w:rPr>
          <w:rFonts w:asciiTheme="minorHAnsi" w:hAnsiTheme="minorHAnsi"/>
          <w:sz w:val="22"/>
          <w:szCs w:val="22"/>
        </w:rPr>
        <w:t>U</w:t>
      </w:r>
      <w:r w:rsidR="00FE5DAB" w:rsidRPr="002D3099">
        <w:rPr>
          <w:rFonts w:asciiTheme="minorHAnsi" w:hAnsiTheme="minorHAnsi"/>
          <w:sz w:val="22"/>
          <w:szCs w:val="22"/>
        </w:rPr>
        <w:t>p to £2</w:t>
      </w:r>
      <w:r w:rsidR="00FE5DAB">
        <w:rPr>
          <w:rFonts w:asciiTheme="minorHAnsi" w:hAnsiTheme="minorHAnsi"/>
          <w:sz w:val="22"/>
          <w:szCs w:val="22"/>
        </w:rPr>
        <w:t>m</w:t>
      </w:r>
      <w:r w:rsidR="00FE5DAB" w:rsidRPr="002D3099">
        <w:rPr>
          <w:rFonts w:asciiTheme="minorHAnsi" w:hAnsiTheme="minorHAnsi"/>
          <w:sz w:val="22"/>
          <w:szCs w:val="22"/>
        </w:rPr>
        <w:t xml:space="preserve"> of further consideration linked to site-level EBITDA performance</w:t>
      </w:r>
      <w:r w:rsidR="00FE5DAB">
        <w:rPr>
          <w:rFonts w:asciiTheme="minorHAnsi" w:hAnsiTheme="minorHAnsi"/>
          <w:sz w:val="22"/>
          <w:szCs w:val="22"/>
        </w:rPr>
        <w:t xml:space="preserve"> over three years</w:t>
      </w:r>
    </w:p>
    <w:p w14:paraId="1C63F2CA" w14:textId="77777777" w:rsidR="00FE5DAB" w:rsidRPr="002D3099" w:rsidRDefault="00FE5DAB" w:rsidP="00FE5DAB">
      <w:pPr>
        <w:pStyle w:val="NoSpacing"/>
        <w:numPr>
          <w:ilvl w:val="0"/>
          <w:numId w:val="2"/>
        </w:numPr>
        <w:spacing w:after="120"/>
        <w:rPr>
          <w:rFonts w:asciiTheme="minorHAnsi" w:hAnsiTheme="minorHAnsi"/>
          <w:sz w:val="22"/>
          <w:szCs w:val="22"/>
        </w:rPr>
      </w:pPr>
      <w:r w:rsidRPr="002D3099">
        <w:rPr>
          <w:rFonts w:asciiTheme="minorHAnsi" w:hAnsiTheme="minorHAnsi"/>
          <w:sz w:val="22"/>
          <w:szCs w:val="22"/>
        </w:rPr>
        <w:t xml:space="preserve">The Disposal is being undertaken on a cash-free, debt-free basis, subject to an </w:t>
      </w:r>
      <w:r>
        <w:rPr>
          <w:rFonts w:asciiTheme="minorHAnsi" w:hAnsiTheme="minorHAnsi"/>
          <w:sz w:val="22"/>
          <w:szCs w:val="22"/>
        </w:rPr>
        <w:t xml:space="preserve">adjustment relative to an </w:t>
      </w:r>
      <w:r w:rsidRPr="002D3099">
        <w:rPr>
          <w:rFonts w:asciiTheme="minorHAnsi" w:hAnsiTheme="minorHAnsi"/>
          <w:sz w:val="22"/>
          <w:szCs w:val="22"/>
        </w:rPr>
        <w:t xml:space="preserve">agreed </w:t>
      </w:r>
      <w:r>
        <w:rPr>
          <w:rFonts w:asciiTheme="minorHAnsi" w:hAnsiTheme="minorHAnsi"/>
          <w:sz w:val="22"/>
          <w:szCs w:val="22"/>
        </w:rPr>
        <w:t xml:space="preserve">target level of normalised </w:t>
      </w:r>
      <w:r w:rsidRPr="002D3099">
        <w:rPr>
          <w:rFonts w:asciiTheme="minorHAnsi" w:hAnsiTheme="minorHAnsi"/>
          <w:sz w:val="22"/>
          <w:szCs w:val="22"/>
        </w:rPr>
        <w:t>working capital</w:t>
      </w:r>
    </w:p>
    <w:p w14:paraId="4165F78A" w14:textId="12232189" w:rsidR="00FE5DAB" w:rsidRDefault="00FE5DAB" w:rsidP="00FE5DAB">
      <w:pPr>
        <w:pStyle w:val="NoSpacing"/>
        <w:numPr>
          <w:ilvl w:val="0"/>
          <w:numId w:val="2"/>
        </w:numPr>
        <w:spacing w:after="120"/>
        <w:rPr>
          <w:rFonts w:asciiTheme="minorHAnsi" w:hAnsiTheme="minorHAnsi"/>
          <w:sz w:val="22"/>
          <w:szCs w:val="22"/>
        </w:rPr>
      </w:pPr>
      <w:r>
        <w:rPr>
          <w:rFonts w:asciiTheme="minorHAnsi" w:hAnsiTheme="minorHAnsi"/>
          <w:sz w:val="22"/>
          <w:szCs w:val="22"/>
        </w:rPr>
        <w:t>Implied valuation of up to 4.5x Boom’s trailing adj. pre-IFRS 16 EBITDA, after an allocation of central costs</w:t>
      </w:r>
      <w:r w:rsidRPr="00FE5DAB">
        <w:rPr>
          <w:rFonts w:asciiTheme="minorHAnsi" w:hAnsiTheme="minorHAnsi"/>
          <w:sz w:val="22"/>
          <w:szCs w:val="22"/>
          <w:vertAlign w:val="superscript"/>
        </w:rPr>
        <w:t>3</w:t>
      </w:r>
    </w:p>
    <w:p w14:paraId="7FD63FE5" w14:textId="77777777" w:rsidR="00FE5DAB" w:rsidRPr="00B6647C" w:rsidRDefault="00FE5DAB" w:rsidP="00FE5DAB">
      <w:pPr>
        <w:pStyle w:val="ListParagraph"/>
        <w:keepNext/>
        <w:numPr>
          <w:ilvl w:val="0"/>
          <w:numId w:val="2"/>
        </w:numPr>
        <w:spacing w:after="120" w:line="276" w:lineRule="auto"/>
        <w:rPr>
          <w:rFonts w:asciiTheme="minorHAnsi" w:hAnsiTheme="minorHAnsi" w:cstheme="minorHAnsi"/>
          <w:sz w:val="22"/>
          <w:szCs w:val="22"/>
        </w:rPr>
      </w:pPr>
      <w:r w:rsidRPr="00D80B43">
        <w:rPr>
          <w:rFonts w:asciiTheme="minorHAnsi" w:hAnsiTheme="minorHAnsi" w:cstheme="minorHAnsi"/>
          <w:sz w:val="22"/>
          <w:szCs w:val="22"/>
        </w:rPr>
        <w:lastRenderedPageBreak/>
        <w:t xml:space="preserve">As </w:t>
      </w:r>
      <w:proofErr w:type="gramStart"/>
      <w:r w:rsidRPr="00D80B43">
        <w:rPr>
          <w:rFonts w:asciiTheme="minorHAnsi" w:hAnsiTheme="minorHAnsi" w:cstheme="minorHAnsi"/>
          <w:sz w:val="22"/>
          <w:szCs w:val="22"/>
        </w:rPr>
        <w:t>at</w:t>
      </w:r>
      <w:proofErr w:type="gramEnd"/>
      <w:r w:rsidRPr="00D80B43">
        <w:rPr>
          <w:rFonts w:asciiTheme="minorHAnsi" w:hAnsiTheme="minorHAnsi" w:cstheme="minorHAnsi"/>
          <w:sz w:val="22"/>
          <w:szCs w:val="22"/>
        </w:rPr>
        <w:t xml:space="preserve"> 29 March 2026, the net book value of the Boom business being disposed of was approximately £21.3m</w:t>
      </w:r>
    </w:p>
    <w:p w14:paraId="595E416E" w14:textId="5F5B1C57" w:rsidR="00FE5DAB" w:rsidRDefault="00FE5DAB" w:rsidP="00FE5DAB">
      <w:pPr>
        <w:pStyle w:val="NoSpacing"/>
        <w:numPr>
          <w:ilvl w:val="0"/>
          <w:numId w:val="2"/>
        </w:numPr>
        <w:spacing w:after="120"/>
        <w:rPr>
          <w:rFonts w:asciiTheme="minorHAnsi" w:hAnsiTheme="minorHAnsi"/>
          <w:sz w:val="22"/>
          <w:szCs w:val="22"/>
        </w:rPr>
      </w:pPr>
      <w:r w:rsidRPr="002D3099">
        <w:rPr>
          <w:rFonts w:asciiTheme="minorHAnsi" w:hAnsiTheme="minorHAnsi"/>
          <w:sz w:val="22"/>
          <w:szCs w:val="22"/>
        </w:rPr>
        <w:t>Initial cash proceeds will be used</w:t>
      </w:r>
      <w:r>
        <w:rPr>
          <w:rFonts w:asciiTheme="minorHAnsi" w:hAnsiTheme="minorHAnsi"/>
          <w:sz w:val="22"/>
          <w:szCs w:val="22"/>
        </w:rPr>
        <w:t xml:space="preserve"> </w:t>
      </w:r>
      <w:r w:rsidRPr="002D3099">
        <w:rPr>
          <w:rFonts w:asciiTheme="minorHAnsi" w:hAnsiTheme="minorHAnsi"/>
          <w:sz w:val="22"/>
          <w:szCs w:val="22"/>
        </w:rPr>
        <w:t>to reduce Group borrowings</w:t>
      </w:r>
      <w:r>
        <w:rPr>
          <w:rFonts w:asciiTheme="minorHAnsi" w:hAnsiTheme="minorHAnsi"/>
          <w:sz w:val="22"/>
          <w:szCs w:val="22"/>
        </w:rPr>
        <w:t xml:space="preserve"> and strengthen the balance sheet</w:t>
      </w:r>
      <w:r w:rsidRPr="002D3099">
        <w:rPr>
          <w:rFonts w:asciiTheme="minorHAnsi" w:hAnsiTheme="minorHAnsi"/>
          <w:sz w:val="22"/>
          <w:szCs w:val="22"/>
        </w:rPr>
        <w:t xml:space="preserve">, </w:t>
      </w:r>
      <w:r>
        <w:rPr>
          <w:rFonts w:asciiTheme="minorHAnsi" w:hAnsiTheme="minorHAnsi"/>
          <w:sz w:val="22"/>
          <w:szCs w:val="22"/>
        </w:rPr>
        <w:t>reducing net deb</w:t>
      </w:r>
      <w:r w:rsidRPr="006732B9">
        <w:rPr>
          <w:rFonts w:asciiTheme="minorHAnsi" w:hAnsiTheme="minorHAnsi"/>
          <w:sz w:val="22"/>
          <w:szCs w:val="22"/>
        </w:rPr>
        <w:t xml:space="preserve">t to </w:t>
      </w:r>
      <w:r w:rsidRPr="00554452">
        <w:rPr>
          <w:rFonts w:asciiTheme="minorHAnsi" w:hAnsiTheme="minorHAnsi"/>
          <w:sz w:val="22"/>
          <w:szCs w:val="22"/>
        </w:rPr>
        <w:t>c.£3m</w:t>
      </w:r>
      <w:r>
        <w:rPr>
          <w:rFonts w:asciiTheme="minorHAnsi" w:hAnsiTheme="minorHAnsi"/>
          <w:sz w:val="22"/>
          <w:szCs w:val="22"/>
        </w:rPr>
        <w:t xml:space="preserve">, future earn-out payments to further strengthen the balance sheet and accelerate new site roll out </w:t>
      </w:r>
    </w:p>
    <w:p w14:paraId="100101F0" w14:textId="77777777" w:rsidR="00FE5DAB" w:rsidRDefault="00FE5DAB" w:rsidP="00FE5DAB">
      <w:pPr>
        <w:pStyle w:val="NoSpacing"/>
        <w:numPr>
          <w:ilvl w:val="0"/>
          <w:numId w:val="2"/>
        </w:numPr>
        <w:spacing w:after="120"/>
        <w:rPr>
          <w:rFonts w:asciiTheme="minorHAnsi" w:hAnsiTheme="minorHAnsi"/>
          <w:sz w:val="22"/>
          <w:szCs w:val="22"/>
        </w:rPr>
      </w:pPr>
      <w:r>
        <w:rPr>
          <w:rFonts w:asciiTheme="minorHAnsi" w:hAnsiTheme="minorHAnsi"/>
          <w:sz w:val="22"/>
          <w:szCs w:val="22"/>
        </w:rPr>
        <w:t>Back-to-back RCF facility agreed with HSBC</w:t>
      </w:r>
    </w:p>
    <w:p w14:paraId="11B41A06" w14:textId="77777777" w:rsidR="00FE5DAB" w:rsidRDefault="00FE5DAB" w:rsidP="00FE5DAB">
      <w:pPr>
        <w:pStyle w:val="NoSpacing"/>
        <w:numPr>
          <w:ilvl w:val="1"/>
          <w:numId w:val="2"/>
        </w:numPr>
        <w:spacing w:after="120"/>
        <w:rPr>
          <w:rFonts w:asciiTheme="minorHAnsi" w:hAnsiTheme="minorHAnsi"/>
          <w:sz w:val="22"/>
          <w:szCs w:val="22"/>
        </w:rPr>
      </w:pPr>
      <w:r>
        <w:rPr>
          <w:rFonts w:asciiTheme="minorHAnsi" w:hAnsiTheme="minorHAnsi"/>
          <w:sz w:val="22"/>
          <w:szCs w:val="22"/>
        </w:rPr>
        <w:t>Covenants, coupon and other terms in line with prior agreement</w:t>
      </w:r>
    </w:p>
    <w:p w14:paraId="455716BF" w14:textId="77777777" w:rsidR="00FE5DAB" w:rsidRDefault="00FE5DAB" w:rsidP="00FE5DAB">
      <w:pPr>
        <w:pStyle w:val="NoSpacing"/>
        <w:numPr>
          <w:ilvl w:val="1"/>
          <w:numId w:val="2"/>
        </w:numPr>
        <w:spacing w:after="120"/>
        <w:rPr>
          <w:rFonts w:asciiTheme="minorHAnsi" w:hAnsiTheme="minorHAnsi"/>
          <w:sz w:val="22"/>
          <w:szCs w:val="22"/>
        </w:rPr>
      </w:pPr>
      <w:r>
        <w:rPr>
          <w:rFonts w:asciiTheme="minorHAnsi" w:hAnsiTheme="minorHAnsi"/>
          <w:sz w:val="22"/>
          <w:szCs w:val="22"/>
        </w:rPr>
        <w:t xml:space="preserve">Facility </w:t>
      </w:r>
      <w:proofErr w:type="gramStart"/>
      <w:r>
        <w:rPr>
          <w:rFonts w:asciiTheme="minorHAnsi" w:hAnsiTheme="minorHAnsi"/>
          <w:sz w:val="22"/>
          <w:szCs w:val="22"/>
        </w:rPr>
        <w:t>right-sized</w:t>
      </w:r>
      <w:proofErr w:type="gramEnd"/>
      <w:r>
        <w:rPr>
          <w:rFonts w:asciiTheme="minorHAnsi" w:hAnsiTheme="minorHAnsi"/>
          <w:sz w:val="22"/>
          <w:szCs w:val="22"/>
        </w:rPr>
        <w:t xml:space="preserve"> from £20m to £10m to support the standalone Escape Hunt growth plan</w:t>
      </w:r>
    </w:p>
    <w:p w14:paraId="39106A90" w14:textId="77777777" w:rsidR="00FE5DAB" w:rsidRDefault="00FE5DAB" w:rsidP="00FE5DAB">
      <w:pPr>
        <w:pStyle w:val="NoSpacing"/>
        <w:numPr>
          <w:ilvl w:val="0"/>
          <w:numId w:val="2"/>
        </w:numPr>
        <w:spacing w:after="120"/>
        <w:rPr>
          <w:rFonts w:asciiTheme="minorHAnsi" w:hAnsiTheme="minorHAnsi"/>
          <w:sz w:val="22"/>
          <w:szCs w:val="22"/>
        </w:rPr>
      </w:pPr>
      <w:r w:rsidRPr="00B6647C">
        <w:rPr>
          <w:rFonts w:asciiTheme="minorHAnsi" w:hAnsiTheme="minorHAnsi"/>
          <w:sz w:val="22"/>
          <w:szCs w:val="22"/>
        </w:rPr>
        <w:t xml:space="preserve">The sale of Boom constitutes a substantial transaction under AIM Rule 12 </w:t>
      </w:r>
    </w:p>
    <w:p w14:paraId="45D4F399" w14:textId="77777777" w:rsidR="00FE5DAB" w:rsidRDefault="00FE5DAB" w:rsidP="00FE5DAB">
      <w:pPr>
        <w:pStyle w:val="NoSpacing"/>
        <w:spacing w:after="120"/>
        <w:rPr>
          <w:sz w:val="18"/>
          <w:szCs w:val="18"/>
        </w:rPr>
      </w:pPr>
      <w:r w:rsidRPr="00554452">
        <w:rPr>
          <w:sz w:val="18"/>
          <w:szCs w:val="18"/>
        </w:rPr>
        <w:t>3. Maximum purchase consideration divided by the difference between pro-forma FY26 EBITDA of ~£3m and actual FY26 EBITDA of £5.5m</w:t>
      </w:r>
    </w:p>
    <w:p w14:paraId="159213E5" w14:textId="77777777" w:rsidR="00FE5DAB" w:rsidRPr="00554452" w:rsidRDefault="00FE5DAB" w:rsidP="00FE5DAB">
      <w:pPr>
        <w:pStyle w:val="NoSpacing"/>
        <w:spacing w:after="120"/>
        <w:rPr>
          <w:sz w:val="18"/>
          <w:szCs w:val="18"/>
        </w:rPr>
      </w:pPr>
    </w:p>
    <w:p w14:paraId="2011ED78" w14:textId="77777777" w:rsidR="00FE5DAB" w:rsidRDefault="00FE5DAB" w:rsidP="00FE5DAB">
      <w:pPr>
        <w:pStyle w:val="NoSpacing"/>
        <w:spacing w:after="120"/>
        <w:ind w:left="360"/>
        <w:rPr>
          <w:rFonts w:asciiTheme="minorHAnsi" w:hAnsiTheme="minorHAnsi"/>
          <w:b/>
          <w:bCs/>
          <w:sz w:val="22"/>
          <w:szCs w:val="22"/>
        </w:rPr>
      </w:pPr>
      <w:r>
        <w:rPr>
          <w:rFonts w:asciiTheme="minorHAnsi" w:hAnsiTheme="minorHAnsi"/>
          <w:b/>
          <w:bCs/>
          <w:sz w:val="22"/>
          <w:szCs w:val="22"/>
        </w:rPr>
        <w:t>Further information on Boom</w:t>
      </w:r>
    </w:p>
    <w:p w14:paraId="6ACFCDB0" w14:textId="77777777" w:rsidR="00FE5DAB" w:rsidRPr="00554452" w:rsidRDefault="00FE5DAB" w:rsidP="00FE5DAB">
      <w:pPr>
        <w:pStyle w:val="ListParagraph"/>
        <w:keepNext/>
        <w:numPr>
          <w:ilvl w:val="0"/>
          <w:numId w:val="2"/>
        </w:numPr>
        <w:spacing w:after="120" w:line="276" w:lineRule="auto"/>
        <w:rPr>
          <w:rFonts w:asciiTheme="minorHAnsi" w:hAnsiTheme="minorHAnsi" w:cstheme="minorHAnsi"/>
          <w:sz w:val="22"/>
          <w:szCs w:val="22"/>
        </w:rPr>
      </w:pPr>
      <w:r w:rsidRPr="001B3185">
        <w:rPr>
          <w:rFonts w:asciiTheme="minorHAnsi" w:hAnsiTheme="minorHAnsi" w:cstheme="minorHAnsi"/>
          <w:sz w:val="22"/>
          <w:szCs w:val="22"/>
        </w:rPr>
        <w:t xml:space="preserve">Boom is one of the UK’s leading competitive socialising businesses, combining activities including augmented reality darts, axe throwing, crazier golf and shuffleboard with cocktails, drinks and street food. For the financial year ended 29 March 2026, the Boom business generated revenue of £42.4m and adjusted pre-IFRS 16 EBITDA before central costs of £7.4m. As </w:t>
      </w:r>
      <w:proofErr w:type="gramStart"/>
      <w:r w:rsidRPr="001B3185">
        <w:rPr>
          <w:rFonts w:asciiTheme="minorHAnsi" w:hAnsiTheme="minorHAnsi" w:cstheme="minorHAnsi"/>
          <w:sz w:val="22"/>
          <w:szCs w:val="22"/>
        </w:rPr>
        <w:t>at</w:t>
      </w:r>
      <w:proofErr w:type="gramEnd"/>
      <w:r w:rsidRPr="001B3185">
        <w:rPr>
          <w:rFonts w:asciiTheme="minorHAnsi" w:hAnsiTheme="minorHAnsi" w:cstheme="minorHAnsi"/>
          <w:sz w:val="22"/>
          <w:szCs w:val="22"/>
        </w:rPr>
        <w:t xml:space="preserve"> September 2026, Boom operates across 24 owner-operated sites and 5 franchise sites, all based in the UK.</w:t>
      </w:r>
    </w:p>
    <w:p w14:paraId="4112C283" w14:textId="77777777" w:rsidR="00FE5DAB" w:rsidRDefault="00FE5DAB" w:rsidP="00FE5DAB">
      <w:pPr>
        <w:pStyle w:val="NoSpacing"/>
        <w:spacing w:after="120"/>
        <w:rPr>
          <w:rFonts w:asciiTheme="minorHAnsi" w:hAnsiTheme="minorHAnsi"/>
          <w:b/>
          <w:bCs/>
          <w:sz w:val="22"/>
          <w:szCs w:val="22"/>
        </w:rPr>
      </w:pPr>
    </w:p>
    <w:p w14:paraId="07BCF2E3" w14:textId="77777777" w:rsidR="00FE5DAB" w:rsidRDefault="00FE5DAB" w:rsidP="00FE5DAB">
      <w:pPr>
        <w:pStyle w:val="NoSpacing"/>
        <w:spacing w:after="120"/>
        <w:rPr>
          <w:rFonts w:asciiTheme="minorHAnsi" w:hAnsiTheme="minorHAnsi"/>
          <w:b/>
          <w:bCs/>
          <w:sz w:val="22"/>
          <w:szCs w:val="22"/>
        </w:rPr>
      </w:pPr>
      <w:r>
        <w:rPr>
          <w:rFonts w:asciiTheme="minorHAnsi" w:hAnsiTheme="minorHAnsi"/>
          <w:b/>
          <w:bCs/>
          <w:sz w:val="22"/>
          <w:szCs w:val="22"/>
        </w:rPr>
        <w:t>Post transaction structure</w:t>
      </w:r>
    </w:p>
    <w:p w14:paraId="76BE9307" w14:textId="0436A4EC" w:rsidR="00FE5DAB" w:rsidRPr="001E2D97" w:rsidRDefault="00FE5DAB" w:rsidP="00FE5DAB">
      <w:pPr>
        <w:pStyle w:val="NoSpacing"/>
        <w:spacing w:after="120"/>
        <w:rPr>
          <w:rFonts w:asciiTheme="minorHAnsi" w:hAnsiTheme="minorHAnsi"/>
          <w:sz w:val="22"/>
          <w:szCs w:val="22"/>
        </w:rPr>
      </w:pPr>
      <w:r w:rsidRPr="001E2D97">
        <w:rPr>
          <w:rFonts w:asciiTheme="minorHAnsi" w:hAnsiTheme="minorHAnsi"/>
          <w:sz w:val="22"/>
          <w:szCs w:val="22"/>
        </w:rPr>
        <w:t>Following completion, Escape Hunt and Boom will continue to operate alongside one another at seven co-located sites, pursuant to the existing lease terms and with each business retaining its existing presence and signage. The parties have agreed arrangements in respect of the future occupation and operation of these sites, including the sharing of relevant property costs. Escape Hunt's contribution will remain broadly consistent with the existing allocation, with a modest increase to reflect its share of ongoing maintenance costs.</w:t>
      </w:r>
    </w:p>
    <w:p w14:paraId="1E234FEF" w14:textId="2D3C09A1" w:rsidR="00FE5DAB" w:rsidRPr="001E2D97" w:rsidRDefault="001E2D97" w:rsidP="00FE5DAB">
      <w:pPr>
        <w:pStyle w:val="NoSpacing"/>
        <w:spacing w:after="120"/>
        <w:rPr>
          <w:rFonts w:asciiTheme="minorHAnsi" w:hAnsiTheme="minorHAnsi" w:cs="Tahoma"/>
          <w:color w:val="000000"/>
          <w:sz w:val="22"/>
          <w:szCs w:val="22"/>
        </w:rPr>
      </w:pPr>
      <w:r w:rsidRPr="001E2D97">
        <w:rPr>
          <w:rFonts w:asciiTheme="minorHAnsi" w:hAnsiTheme="minorHAnsi" w:cs="Tahoma"/>
          <w:color w:val="000000"/>
          <w:sz w:val="22"/>
          <w:szCs w:val="22"/>
        </w:rPr>
        <w:t>A transitional services arrangement has been agreed to support an orderly separation of the two businesses</w:t>
      </w:r>
      <w:r w:rsidRPr="001E2D97">
        <w:rPr>
          <w:rStyle w:val="apple-converted-space"/>
          <w:rFonts w:asciiTheme="minorHAnsi" w:hAnsiTheme="minorHAnsi" w:cs="Tahoma"/>
          <w:color w:val="000000"/>
          <w:sz w:val="22"/>
          <w:szCs w:val="22"/>
        </w:rPr>
        <w:t> </w:t>
      </w:r>
      <w:r w:rsidRPr="001E2D97">
        <w:rPr>
          <w:rFonts w:asciiTheme="minorHAnsi" w:hAnsiTheme="minorHAnsi" w:cs="Tahoma"/>
          <w:color w:val="000000"/>
          <w:sz w:val="22"/>
          <w:szCs w:val="22"/>
        </w:rPr>
        <w:t>and will operate for a limited transition period. Contracts specific to Boom will be novated or renegotiated as appropriate, while relevant shared contracts will continue to be shared between the businesses where commercially appropriate.</w:t>
      </w:r>
      <w:r w:rsidRPr="001E2D97">
        <w:rPr>
          <w:rStyle w:val="apple-converted-space"/>
          <w:rFonts w:asciiTheme="minorHAnsi" w:hAnsiTheme="minorHAnsi" w:cs="Tahoma"/>
          <w:color w:val="000000"/>
          <w:sz w:val="22"/>
          <w:szCs w:val="22"/>
        </w:rPr>
        <w:t> </w:t>
      </w:r>
      <w:r w:rsidRPr="001E2D97">
        <w:rPr>
          <w:rFonts w:asciiTheme="minorHAnsi" w:hAnsiTheme="minorHAnsi" w:cs="Tahoma"/>
          <w:color w:val="000000"/>
          <w:sz w:val="22"/>
          <w:szCs w:val="22"/>
        </w:rPr>
        <w:t>Following an initial handover period, services provided between the businesses during the transition period will be charged in accordance with the agreed transitional services arrangements.</w:t>
      </w:r>
    </w:p>
    <w:p w14:paraId="39B8C1A9" w14:textId="77777777" w:rsidR="001E2D97" w:rsidRDefault="001E2D97" w:rsidP="00FE5DAB">
      <w:pPr>
        <w:pStyle w:val="NoSpacing"/>
        <w:spacing w:after="120"/>
        <w:rPr>
          <w:rFonts w:ascii="Tahoma" w:hAnsi="Tahoma" w:cs="Tahoma"/>
          <w:b/>
          <w:bCs/>
          <w:color w:val="000000"/>
        </w:rPr>
      </w:pPr>
    </w:p>
    <w:p w14:paraId="5AAD2BC7" w14:textId="77777777" w:rsidR="001E2D97" w:rsidRPr="00115939" w:rsidRDefault="001E2D97" w:rsidP="00FE5DAB">
      <w:pPr>
        <w:pStyle w:val="NoSpacing"/>
        <w:spacing w:after="120"/>
        <w:rPr>
          <w:rFonts w:asciiTheme="minorHAnsi" w:hAnsiTheme="minorHAnsi"/>
          <w:sz w:val="22"/>
          <w:szCs w:val="22"/>
        </w:rPr>
      </w:pPr>
    </w:p>
    <w:p w14:paraId="4BBE34D4" w14:textId="77777777" w:rsidR="00FE5DAB" w:rsidRDefault="00FE5DAB" w:rsidP="00FE5DAB">
      <w:pPr>
        <w:pStyle w:val="NoSpacing"/>
        <w:spacing w:after="120"/>
        <w:rPr>
          <w:rFonts w:asciiTheme="minorHAnsi" w:hAnsiTheme="minorHAnsi"/>
          <w:i/>
          <w:iCs/>
          <w:sz w:val="22"/>
          <w:szCs w:val="22"/>
        </w:rPr>
      </w:pPr>
      <w:r w:rsidRPr="00386FAB">
        <w:rPr>
          <w:rFonts w:asciiTheme="minorHAnsi" w:hAnsiTheme="minorHAnsi"/>
          <w:sz w:val="22"/>
          <w:szCs w:val="22"/>
        </w:rPr>
        <w:t xml:space="preserve">Richard Harpham, Chief Executive of XP Factory plc said: </w:t>
      </w:r>
      <w:r>
        <w:rPr>
          <w:rFonts w:asciiTheme="minorHAnsi" w:hAnsiTheme="minorHAnsi"/>
          <w:i/>
          <w:iCs/>
          <w:sz w:val="22"/>
          <w:szCs w:val="22"/>
        </w:rPr>
        <w:t>“</w:t>
      </w:r>
      <w:r w:rsidRPr="00A03167">
        <w:rPr>
          <w:rFonts w:asciiTheme="minorHAnsi" w:hAnsiTheme="minorHAnsi"/>
          <w:i/>
          <w:iCs/>
          <w:sz w:val="22"/>
          <w:szCs w:val="22"/>
        </w:rPr>
        <w:t>This transaction marks an important milestone for XP Factory. We are extremely proud of what we have achieved with Boom, growing it from a small, early-stage business into one of the UK's leading competitive socialising brands. The market has faced significant headwinds in recent years, but Boom has a strong brand, a scaled estate and an excellent team, and we believe it is well positioned to benefit as market conditions recover.</w:t>
      </w:r>
    </w:p>
    <w:p w14:paraId="5AFD7AE9" w14:textId="77777777" w:rsidR="00FE5DAB" w:rsidRDefault="00FE5DAB" w:rsidP="00FE5DAB">
      <w:pPr>
        <w:pStyle w:val="NoSpacing"/>
        <w:spacing w:after="120"/>
        <w:rPr>
          <w:rFonts w:asciiTheme="minorHAnsi" w:hAnsiTheme="minorHAnsi"/>
          <w:i/>
          <w:iCs/>
          <w:sz w:val="22"/>
          <w:szCs w:val="22"/>
        </w:rPr>
      </w:pPr>
      <w:r w:rsidRPr="00A03167">
        <w:rPr>
          <w:rFonts w:asciiTheme="minorHAnsi" w:hAnsiTheme="minorHAnsi"/>
          <w:i/>
          <w:iCs/>
          <w:sz w:val="22"/>
          <w:szCs w:val="22"/>
        </w:rPr>
        <w:lastRenderedPageBreak/>
        <w:t xml:space="preserve">The Disposal allows us to sharpen our focus on Escape Hunt, a business which has demonstrated the strength of its model through </w:t>
      </w:r>
      <w:r>
        <w:rPr>
          <w:rFonts w:asciiTheme="minorHAnsi" w:hAnsiTheme="minorHAnsi"/>
          <w:i/>
          <w:iCs/>
          <w:sz w:val="22"/>
          <w:szCs w:val="22"/>
        </w:rPr>
        <w:t xml:space="preserve">consistent and </w:t>
      </w:r>
      <w:r w:rsidRPr="00A03167">
        <w:rPr>
          <w:rFonts w:asciiTheme="minorHAnsi" w:hAnsiTheme="minorHAnsi"/>
          <w:i/>
          <w:iCs/>
          <w:sz w:val="22"/>
          <w:szCs w:val="22"/>
        </w:rPr>
        <w:t xml:space="preserve">attractive returns. Escape Hunt has established a clear leadership position in the UK, while still having significant whitespace ahead of it, and we are excited by the opportunity to </w:t>
      </w:r>
      <w:r>
        <w:rPr>
          <w:rFonts w:asciiTheme="minorHAnsi" w:hAnsiTheme="minorHAnsi"/>
          <w:i/>
          <w:iCs/>
          <w:sz w:val="22"/>
          <w:szCs w:val="22"/>
        </w:rPr>
        <w:t xml:space="preserve">further </w:t>
      </w:r>
      <w:r w:rsidRPr="00A03167">
        <w:rPr>
          <w:rFonts w:asciiTheme="minorHAnsi" w:hAnsiTheme="minorHAnsi"/>
          <w:i/>
          <w:iCs/>
          <w:sz w:val="22"/>
          <w:szCs w:val="22"/>
        </w:rPr>
        <w:t>build on that position</w:t>
      </w:r>
      <w:r>
        <w:rPr>
          <w:rFonts w:asciiTheme="minorHAnsi" w:hAnsiTheme="minorHAnsi"/>
          <w:i/>
          <w:iCs/>
          <w:sz w:val="22"/>
          <w:szCs w:val="22"/>
        </w:rPr>
        <w:t>.</w:t>
      </w:r>
      <w:r w:rsidRPr="00386FAB">
        <w:rPr>
          <w:rFonts w:asciiTheme="minorHAnsi" w:hAnsiTheme="minorHAnsi"/>
          <w:i/>
          <w:iCs/>
          <w:sz w:val="22"/>
          <w:szCs w:val="22"/>
        </w:rPr>
        <w:t>”</w:t>
      </w:r>
    </w:p>
    <w:p w14:paraId="49612AF0" w14:textId="77777777" w:rsidR="00FE5DAB" w:rsidRPr="003E1476" w:rsidRDefault="00FE5DAB" w:rsidP="00FE5DAB">
      <w:pPr>
        <w:pStyle w:val="NoSpacing"/>
        <w:spacing w:after="120"/>
        <w:rPr>
          <w:rFonts w:asciiTheme="minorHAnsi" w:hAnsiTheme="minorHAnsi"/>
          <w:sz w:val="22"/>
          <w:szCs w:val="22"/>
        </w:rPr>
      </w:pPr>
      <w:r w:rsidRPr="003E1476">
        <w:rPr>
          <w:rFonts w:asciiTheme="minorHAnsi" w:hAnsiTheme="minorHAnsi"/>
          <w:sz w:val="22"/>
          <w:szCs w:val="22"/>
        </w:rPr>
        <w:t xml:space="preserve">Commenting, </w:t>
      </w:r>
      <w:proofErr w:type="gramStart"/>
      <w:r w:rsidRPr="003E1476">
        <w:rPr>
          <w:rFonts w:asciiTheme="minorHAnsi" w:hAnsiTheme="minorHAnsi"/>
          <w:sz w:val="22"/>
          <w:szCs w:val="22"/>
        </w:rPr>
        <w:t>James</w:t>
      </w:r>
      <w:proofErr w:type="gramEnd"/>
      <w:r w:rsidRPr="003E1476">
        <w:rPr>
          <w:rFonts w:asciiTheme="minorHAnsi" w:hAnsiTheme="minorHAnsi"/>
          <w:sz w:val="22"/>
          <w:szCs w:val="22"/>
        </w:rPr>
        <w:t xml:space="preserve"> van den Bergh, Chairman of XP Factory plc, said:</w:t>
      </w:r>
    </w:p>
    <w:p w14:paraId="2FB9216A" w14:textId="77777777" w:rsidR="00FE5DAB" w:rsidRPr="00907DF5" w:rsidRDefault="00FE5DAB" w:rsidP="00FE5DAB">
      <w:pPr>
        <w:pStyle w:val="NoSpacing"/>
        <w:spacing w:after="120"/>
        <w:rPr>
          <w:rFonts w:asciiTheme="minorHAnsi" w:hAnsiTheme="minorHAnsi"/>
          <w:i/>
          <w:iCs/>
          <w:sz w:val="22"/>
          <w:szCs w:val="22"/>
        </w:rPr>
      </w:pPr>
      <w:r w:rsidRPr="003E1476">
        <w:rPr>
          <w:rFonts w:asciiTheme="minorHAnsi" w:hAnsiTheme="minorHAnsi"/>
          <w:sz w:val="22"/>
          <w:szCs w:val="22"/>
        </w:rPr>
        <w:t>“</w:t>
      </w:r>
      <w:r w:rsidRPr="00907DF5">
        <w:rPr>
          <w:rFonts w:asciiTheme="minorHAnsi" w:hAnsiTheme="minorHAnsi"/>
          <w:i/>
          <w:iCs/>
          <w:sz w:val="22"/>
          <w:szCs w:val="22"/>
        </w:rPr>
        <w:t xml:space="preserve">My appointment as Chairman earlier this year brought a key discipline to the Board’s decision-making: every pound of capital the Group employs </w:t>
      </w:r>
      <w:proofErr w:type="gramStart"/>
      <w:r w:rsidRPr="00907DF5">
        <w:rPr>
          <w:rFonts w:asciiTheme="minorHAnsi" w:hAnsiTheme="minorHAnsi"/>
          <w:i/>
          <w:iCs/>
          <w:sz w:val="22"/>
          <w:szCs w:val="22"/>
        </w:rPr>
        <w:t>is</w:t>
      </w:r>
      <w:proofErr w:type="gramEnd"/>
      <w:r w:rsidRPr="00907DF5">
        <w:rPr>
          <w:rFonts w:asciiTheme="minorHAnsi" w:hAnsiTheme="minorHAnsi"/>
          <w:i/>
          <w:iCs/>
          <w:sz w:val="22"/>
          <w:szCs w:val="22"/>
        </w:rPr>
        <w:t xml:space="preserve"> judged on the return it earns. Today’s disposal is a result of that approach.</w:t>
      </w:r>
    </w:p>
    <w:p w14:paraId="6C43AC62" w14:textId="77777777" w:rsidR="00FE5DAB" w:rsidRDefault="00FE5DAB" w:rsidP="00FE5DAB">
      <w:pPr>
        <w:rPr>
          <w:rFonts w:asciiTheme="minorHAnsi" w:hAnsiTheme="minorHAnsi"/>
          <w:sz w:val="22"/>
          <w:szCs w:val="22"/>
        </w:rPr>
      </w:pPr>
      <w:r w:rsidRPr="00907DF5">
        <w:rPr>
          <w:rFonts w:asciiTheme="minorHAnsi" w:hAnsiTheme="minorHAnsi"/>
          <w:i/>
          <w:iCs/>
          <w:sz w:val="22"/>
          <w:szCs w:val="22"/>
        </w:rPr>
        <w:t xml:space="preserve">Escape Hunt’s mature UK sites return an average of 51% on invested capital. From today, Escape Hunt has </w:t>
      </w:r>
      <w:proofErr w:type="gramStart"/>
      <w:r w:rsidRPr="00907DF5">
        <w:rPr>
          <w:rFonts w:asciiTheme="minorHAnsi" w:hAnsiTheme="minorHAnsi"/>
          <w:i/>
          <w:iCs/>
          <w:sz w:val="22"/>
          <w:szCs w:val="22"/>
        </w:rPr>
        <w:t>all of</w:t>
      </w:r>
      <w:proofErr w:type="gramEnd"/>
      <w:r w:rsidRPr="00907DF5">
        <w:rPr>
          <w:rFonts w:asciiTheme="minorHAnsi" w:hAnsiTheme="minorHAnsi"/>
          <w:i/>
          <w:iCs/>
          <w:sz w:val="22"/>
          <w:szCs w:val="22"/>
        </w:rPr>
        <w:t xml:space="preserve"> our capital and </w:t>
      </w:r>
      <w:proofErr w:type="gramStart"/>
      <w:r w:rsidRPr="00907DF5">
        <w:rPr>
          <w:rFonts w:asciiTheme="minorHAnsi" w:hAnsiTheme="minorHAnsi"/>
          <w:i/>
          <w:iCs/>
          <w:sz w:val="22"/>
          <w:szCs w:val="22"/>
        </w:rPr>
        <w:t>all of</w:t>
      </w:r>
      <w:proofErr w:type="gramEnd"/>
      <w:r w:rsidRPr="00907DF5">
        <w:rPr>
          <w:rFonts w:asciiTheme="minorHAnsi" w:hAnsiTheme="minorHAnsi"/>
          <w:i/>
          <w:iCs/>
          <w:sz w:val="22"/>
          <w:szCs w:val="22"/>
        </w:rPr>
        <w:t xml:space="preserve"> our focus. We have set out what we expect that capital to deliver</w:t>
      </w:r>
      <w:r>
        <w:rPr>
          <w:rFonts w:asciiTheme="minorHAnsi" w:hAnsiTheme="minorHAnsi"/>
          <w:i/>
          <w:iCs/>
          <w:sz w:val="22"/>
          <w:szCs w:val="22"/>
        </w:rPr>
        <w:t xml:space="preserve"> -</w:t>
      </w:r>
      <w:r w:rsidRPr="00907DF5">
        <w:rPr>
          <w:rFonts w:asciiTheme="minorHAnsi" w:hAnsiTheme="minorHAnsi"/>
          <w:i/>
          <w:iCs/>
          <w:sz w:val="22"/>
          <w:szCs w:val="22"/>
        </w:rPr>
        <w:t xml:space="preserve"> at least 50 UK sites, £30m of sales and £8m of EBITDA by FY31, funded within 1.5x leverage. We look forward to updating shareholders in due course.”</w:t>
      </w:r>
    </w:p>
    <w:p w14:paraId="7B391360" w14:textId="77777777" w:rsidR="00FE5DAB" w:rsidRDefault="00FE5DAB" w:rsidP="00FE5DAB">
      <w:pPr>
        <w:rPr>
          <w:rFonts w:asciiTheme="minorHAnsi" w:hAnsiTheme="minorHAnsi"/>
          <w:sz w:val="18"/>
          <w:szCs w:val="18"/>
        </w:rPr>
      </w:pPr>
    </w:p>
    <w:p w14:paraId="57A939BE" w14:textId="77777777" w:rsidR="00FE5DAB" w:rsidRPr="00D666C9" w:rsidRDefault="00FE5DAB" w:rsidP="00FE5DAB">
      <w:pPr>
        <w:rPr>
          <w:rFonts w:asciiTheme="minorHAnsi" w:hAnsiTheme="minorHAnsi"/>
          <w:sz w:val="22"/>
          <w:szCs w:val="22"/>
        </w:rPr>
      </w:pPr>
      <w:r w:rsidRPr="00D666C9">
        <w:rPr>
          <w:rFonts w:asciiTheme="minorHAnsi" w:hAnsiTheme="minorHAnsi"/>
          <w:sz w:val="22"/>
          <w:szCs w:val="22"/>
        </w:rPr>
        <w:t>This announcement contains inside information for the purposes of Article 7 of the Market Abuse Regulation (EU) 596/2014 as it forms part of UK domestic law by virtue of the European Union (Withdrawal) Act 2018 ("MAR"). Upon the publication of this announcement via the Regulatory Information Service, this inside information is now considered to be in the public domain</w:t>
      </w:r>
    </w:p>
    <w:p w14:paraId="12190F35" w14:textId="77777777" w:rsidR="00FE5DAB" w:rsidRDefault="00FE5DAB" w:rsidP="00FE5DAB">
      <w:pPr>
        <w:pStyle w:val="BodyText"/>
        <w:rPr>
          <w:rFonts w:asciiTheme="minorHAnsi" w:hAnsiTheme="minorHAnsi" w:cstheme="minorHAnsi"/>
          <w:b/>
          <w:bCs/>
          <w:sz w:val="22"/>
          <w:szCs w:val="22"/>
        </w:rPr>
      </w:pPr>
    </w:p>
    <w:p w14:paraId="66692E48" w14:textId="77777777" w:rsidR="00FE5DAB" w:rsidRPr="0030358E" w:rsidRDefault="00FE5DAB" w:rsidP="00FE5DAB">
      <w:pPr>
        <w:pStyle w:val="BodyText"/>
        <w:rPr>
          <w:rFonts w:asciiTheme="minorHAnsi" w:hAnsiTheme="minorHAnsi" w:cstheme="minorHAnsi"/>
          <w:b/>
          <w:bCs/>
          <w:sz w:val="22"/>
          <w:szCs w:val="22"/>
        </w:rPr>
      </w:pPr>
      <w:r w:rsidRPr="0030358E">
        <w:rPr>
          <w:rFonts w:asciiTheme="minorHAnsi" w:hAnsiTheme="minorHAnsi" w:cstheme="minorHAnsi"/>
          <w:b/>
          <w:bCs/>
          <w:sz w:val="22"/>
          <w:szCs w:val="22"/>
        </w:rPr>
        <w:t>Change of registered office</w:t>
      </w:r>
      <w:r>
        <w:rPr>
          <w:rFonts w:asciiTheme="minorHAnsi" w:hAnsiTheme="minorHAnsi" w:cstheme="minorHAnsi"/>
          <w:b/>
          <w:bCs/>
          <w:sz w:val="22"/>
          <w:szCs w:val="22"/>
        </w:rPr>
        <w:t>:</w:t>
      </w:r>
    </w:p>
    <w:p w14:paraId="6C216BAD" w14:textId="1F81E080" w:rsidR="00FE5DAB" w:rsidRDefault="00FE5DAB" w:rsidP="00BC2D6C">
      <w:pPr>
        <w:pStyle w:val="BodyText"/>
        <w:spacing w:line="240" w:lineRule="auto"/>
        <w:rPr>
          <w:rFonts w:asciiTheme="minorHAnsi" w:hAnsiTheme="minorHAnsi" w:cstheme="minorHAnsi"/>
          <w:sz w:val="22"/>
          <w:szCs w:val="22"/>
        </w:rPr>
      </w:pPr>
      <w:r w:rsidRPr="00FD2D75">
        <w:rPr>
          <w:rFonts w:asciiTheme="minorHAnsi" w:hAnsiTheme="minorHAnsi" w:cstheme="minorHAnsi"/>
          <w:sz w:val="22"/>
          <w:szCs w:val="22"/>
        </w:rPr>
        <w:t>Following completion of the Disposal, the Company’s registered office will change to Hill</w:t>
      </w:r>
      <w:r w:rsidR="00BC2D6C">
        <w:rPr>
          <w:rFonts w:asciiTheme="minorHAnsi" w:hAnsiTheme="minorHAnsi" w:cstheme="minorHAnsi"/>
          <w:sz w:val="22"/>
          <w:szCs w:val="22"/>
        </w:rPr>
        <w:t xml:space="preserve"> </w:t>
      </w:r>
      <w:r w:rsidRPr="00FD2D75">
        <w:rPr>
          <w:rFonts w:asciiTheme="minorHAnsi" w:hAnsiTheme="minorHAnsi" w:cstheme="minorHAnsi"/>
          <w:sz w:val="22"/>
          <w:szCs w:val="22"/>
        </w:rPr>
        <w:t>Dickinson LLP, The Broadgate Tower, 20 Primrose Street, London EC2A 2EW.</w:t>
      </w:r>
    </w:p>
    <w:p w14:paraId="3205300B" w14:textId="77777777" w:rsidR="00BC2D6C" w:rsidRPr="00FD2D75" w:rsidRDefault="00BC2D6C" w:rsidP="00BC2D6C">
      <w:pPr>
        <w:pStyle w:val="BodyText"/>
        <w:spacing w:line="240" w:lineRule="auto"/>
        <w:rPr>
          <w:rFonts w:asciiTheme="minorHAnsi" w:hAnsiTheme="minorHAnsi" w:cstheme="minorHAnsi"/>
          <w:sz w:val="22"/>
          <w:szCs w:val="22"/>
        </w:rPr>
      </w:pPr>
    </w:p>
    <w:p w14:paraId="592CBEC9" w14:textId="77777777" w:rsidR="00FE5DAB" w:rsidRPr="005F5741" w:rsidRDefault="00FE5DAB" w:rsidP="00FE5DAB">
      <w:pPr>
        <w:pStyle w:val="BodyText"/>
        <w:rPr>
          <w:rFonts w:asciiTheme="minorHAnsi" w:hAnsiTheme="minorHAnsi" w:cstheme="minorHAnsi"/>
          <w:b/>
          <w:bCs/>
          <w:sz w:val="22"/>
          <w:szCs w:val="22"/>
        </w:rPr>
      </w:pPr>
      <w:r w:rsidRPr="005F5741">
        <w:rPr>
          <w:rFonts w:asciiTheme="minorHAnsi" w:hAnsiTheme="minorHAnsi" w:cstheme="minorHAnsi"/>
          <w:b/>
          <w:bCs/>
          <w:sz w:val="22"/>
          <w:szCs w:val="22"/>
        </w:rPr>
        <w:t>Enquiries: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222"/>
      </w:tblGrid>
      <w:tr w:rsidR="00FE5DAB" w:rsidRPr="005F5741" w14:paraId="2967DE65" w14:textId="77777777" w:rsidTr="00076904">
        <w:tc>
          <w:tcPr>
            <w:tcW w:w="6804" w:type="dxa"/>
          </w:tcPr>
          <w:p w14:paraId="24A01770" w14:textId="77777777" w:rsidR="00FE5DAB" w:rsidRPr="005F5741" w:rsidRDefault="00FE5DAB" w:rsidP="00076904">
            <w:pPr>
              <w:pStyle w:val="BodyText"/>
              <w:spacing w:line="240" w:lineRule="atLeast"/>
              <w:rPr>
                <w:rFonts w:asciiTheme="minorHAnsi" w:hAnsiTheme="minorHAnsi" w:cstheme="minorHAnsi"/>
                <w:b/>
                <w:sz w:val="22"/>
                <w:szCs w:val="22"/>
              </w:rPr>
            </w:pPr>
            <w:r w:rsidRPr="005F5741">
              <w:rPr>
                <w:rFonts w:asciiTheme="minorHAnsi" w:hAnsiTheme="minorHAnsi" w:cstheme="minorHAnsi"/>
                <w:b/>
                <w:sz w:val="22"/>
                <w:szCs w:val="22"/>
              </w:rPr>
              <w:t>XP Factory Plc</w:t>
            </w:r>
          </w:p>
          <w:p w14:paraId="2CAFE52D" w14:textId="77777777" w:rsidR="00FE5DAB" w:rsidRPr="005F5741" w:rsidRDefault="00FE5DAB" w:rsidP="00076904">
            <w:pPr>
              <w:pStyle w:val="BodyText"/>
              <w:spacing w:line="240" w:lineRule="atLeast"/>
              <w:rPr>
                <w:rFonts w:asciiTheme="minorHAnsi" w:hAnsiTheme="minorHAnsi" w:cstheme="minorHAnsi"/>
                <w:sz w:val="22"/>
                <w:szCs w:val="22"/>
              </w:rPr>
            </w:pPr>
            <w:hyperlink r:id="rId8" w:history="1">
              <w:r w:rsidRPr="005F5741">
                <w:rPr>
                  <w:rStyle w:val="Hyperlink"/>
                  <w:rFonts w:asciiTheme="minorHAnsi" w:hAnsiTheme="minorHAnsi" w:cstheme="minorHAnsi"/>
                  <w:sz w:val="22"/>
                  <w:szCs w:val="22"/>
                </w:rPr>
                <w:t>https://www.xpfactory.com/</w:t>
              </w:r>
            </w:hyperlink>
            <w:r w:rsidRPr="005F5741">
              <w:rPr>
                <w:rFonts w:asciiTheme="minorHAnsi" w:hAnsiTheme="minorHAnsi" w:cstheme="minorHAnsi"/>
                <w:sz w:val="22"/>
                <w:szCs w:val="22"/>
              </w:rPr>
              <w:t xml:space="preserve"> </w:t>
            </w:r>
          </w:p>
          <w:p w14:paraId="72F7BFBE" w14:textId="77777777" w:rsidR="00FE5DAB" w:rsidRPr="005F5741" w:rsidRDefault="00FE5DAB" w:rsidP="00076904">
            <w:pPr>
              <w:pStyle w:val="BodyText"/>
              <w:spacing w:line="240" w:lineRule="atLeast"/>
              <w:rPr>
                <w:rFonts w:asciiTheme="minorHAnsi" w:hAnsiTheme="minorHAnsi" w:cstheme="minorHAnsi"/>
                <w:sz w:val="22"/>
                <w:szCs w:val="22"/>
              </w:rPr>
            </w:pPr>
            <w:r w:rsidRPr="005F5741">
              <w:rPr>
                <w:rFonts w:asciiTheme="minorHAnsi" w:hAnsiTheme="minorHAnsi" w:cstheme="minorHAnsi"/>
                <w:sz w:val="22"/>
                <w:szCs w:val="22"/>
              </w:rPr>
              <w:t>Richard Harpham (Chief Executive Officer)</w:t>
            </w:r>
          </w:p>
          <w:p w14:paraId="2583D868" w14:textId="77777777" w:rsidR="00FE5DAB" w:rsidRDefault="00FE5DAB" w:rsidP="00076904">
            <w:pPr>
              <w:pStyle w:val="BodyText"/>
              <w:spacing w:line="240" w:lineRule="atLeast"/>
              <w:rPr>
                <w:rFonts w:asciiTheme="minorHAnsi" w:hAnsiTheme="minorHAnsi" w:cstheme="minorHAnsi"/>
                <w:sz w:val="22"/>
                <w:szCs w:val="22"/>
              </w:rPr>
            </w:pPr>
            <w:r>
              <w:rPr>
                <w:rFonts w:asciiTheme="minorHAnsi" w:hAnsiTheme="minorHAnsi" w:cstheme="minorHAnsi"/>
                <w:sz w:val="22"/>
                <w:szCs w:val="22"/>
              </w:rPr>
              <w:t xml:space="preserve">Dominic Richards </w:t>
            </w:r>
            <w:r w:rsidRPr="005F5741">
              <w:rPr>
                <w:rFonts w:asciiTheme="minorHAnsi" w:hAnsiTheme="minorHAnsi" w:cstheme="minorHAnsi"/>
                <w:sz w:val="22"/>
                <w:szCs w:val="22"/>
              </w:rPr>
              <w:t>(</w:t>
            </w:r>
            <w:r>
              <w:rPr>
                <w:rFonts w:asciiTheme="minorHAnsi" w:hAnsiTheme="minorHAnsi" w:cstheme="minorHAnsi"/>
                <w:sz w:val="22"/>
                <w:szCs w:val="22"/>
              </w:rPr>
              <w:t>Strategy and Corporate Finance Director</w:t>
            </w:r>
            <w:r w:rsidRPr="005F5741">
              <w:rPr>
                <w:rFonts w:asciiTheme="minorHAnsi" w:hAnsiTheme="minorHAnsi" w:cstheme="minorHAnsi"/>
                <w:sz w:val="22"/>
                <w:szCs w:val="22"/>
              </w:rPr>
              <w:t>)</w:t>
            </w:r>
          </w:p>
          <w:p w14:paraId="4E11D556" w14:textId="77777777" w:rsidR="00FE5DAB" w:rsidRPr="005F5741" w:rsidRDefault="00FE5DAB" w:rsidP="00076904">
            <w:pPr>
              <w:pStyle w:val="BodyText"/>
              <w:spacing w:line="240" w:lineRule="atLeast"/>
              <w:rPr>
                <w:rFonts w:asciiTheme="minorHAnsi" w:hAnsiTheme="minorHAnsi" w:cstheme="minorHAnsi"/>
                <w:sz w:val="22"/>
                <w:szCs w:val="22"/>
              </w:rPr>
            </w:pPr>
          </w:p>
        </w:tc>
        <w:tc>
          <w:tcPr>
            <w:tcW w:w="2222" w:type="dxa"/>
          </w:tcPr>
          <w:p w14:paraId="1D322FFE" w14:textId="77777777" w:rsidR="00FE5DAB" w:rsidRPr="005F5741" w:rsidRDefault="00FE5DAB" w:rsidP="00076904">
            <w:pPr>
              <w:pStyle w:val="BodyText"/>
              <w:spacing w:line="240" w:lineRule="atLeast"/>
              <w:jc w:val="right"/>
              <w:rPr>
                <w:rFonts w:asciiTheme="minorHAnsi" w:hAnsiTheme="minorHAnsi" w:cstheme="minorHAnsi"/>
                <w:b/>
                <w:sz w:val="22"/>
                <w:szCs w:val="22"/>
              </w:rPr>
            </w:pPr>
            <w:r w:rsidRPr="005F5741">
              <w:rPr>
                <w:rFonts w:asciiTheme="minorHAnsi" w:hAnsiTheme="minorHAnsi" w:cstheme="minorHAnsi"/>
                <w:b/>
                <w:sz w:val="22"/>
                <w:szCs w:val="22"/>
              </w:rPr>
              <w:t>+44 (0) 20 7846 3322</w:t>
            </w:r>
          </w:p>
        </w:tc>
      </w:tr>
      <w:tr w:rsidR="00FE5DAB" w:rsidRPr="00B1681A" w14:paraId="4090114B" w14:textId="77777777" w:rsidTr="00076904">
        <w:tc>
          <w:tcPr>
            <w:tcW w:w="6804" w:type="dxa"/>
          </w:tcPr>
          <w:p w14:paraId="10CB883C" w14:textId="77777777" w:rsidR="00FE5DAB" w:rsidRPr="00B475D0" w:rsidRDefault="00FE5DAB" w:rsidP="00076904">
            <w:pPr>
              <w:pStyle w:val="BodyText"/>
              <w:spacing w:line="240" w:lineRule="atLeast"/>
              <w:rPr>
                <w:rFonts w:asciiTheme="minorHAnsi" w:hAnsiTheme="minorHAnsi" w:cstheme="minorHAnsi"/>
                <w:b/>
                <w:sz w:val="22"/>
                <w:szCs w:val="22"/>
              </w:rPr>
            </w:pPr>
            <w:r w:rsidRPr="00B475D0">
              <w:rPr>
                <w:rFonts w:asciiTheme="minorHAnsi" w:hAnsiTheme="minorHAnsi" w:cstheme="minorHAnsi"/>
                <w:b/>
                <w:sz w:val="22"/>
                <w:szCs w:val="22"/>
              </w:rPr>
              <w:t>Panmure Liberum (Broker, NOMAD and Financial Adviser</w:t>
            </w:r>
            <w:r>
              <w:rPr>
                <w:rFonts w:asciiTheme="minorHAnsi" w:hAnsiTheme="minorHAnsi" w:cstheme="minorHAnsi"/>
                <w:b/>
                <w:sz w:val="22"/>
                <w:szCs w:val="22"/>
              </w:rPr>
              <w:t>)</w:t>
            </w:r>
          </w:p>
          <w:p w14:paraId="6B361A78" w14:textId="77777777" w:rsidR="00FE5DAB" w:rsidRPr="00B475D0" w:rsidRDefault="00FE5DAB" w:rsidP="00076904">
            <w:pPr>
              <w:pStyle w:val="BodyText"/>
              <w:spacing w:line="240" w:lineRule="atLeast"/>
              <w:rPr>
                <w:rFonts w:asciiTheme="minorHAnsi" w:hAnsiTheme="minorHAnsi" w:cstheme="minorHAnsi"/>
                <w:sz w:val="22"/>
                <w:szCs w:val="22"/>
              </w:rPr>
            </w:pPr>
            <w:r w:rsidRPr="00B475D0">
              <w:rPr>
                <w:rFonts w:asciiTheme="minorHAnsi" w:hAnsiTheme="minorHAnsi" w:cstheme="minorHAnsi"/>
                <w:sz w:val="22"/>
                <w:szCs w:val="22"/>
              </w:rPr>
              <w:t>Ed Thomas</w:t>
            </w:r>
          </w:p>
          <w:p w14:paraId="15A26209" w14:textId="77777777" w:rsidR="00FE5DAB" w:rsidRDefault="00FE5DAB" w:rsidP="00076904">
            <w:pPr>
              <w:pStyle w:val="BodyText"/>
              <w:spacing w:line="240" w:lineRule="atLeast"/>
              <w:rPr>
                <w:rFonts w:asciiTheme="minorHAnsi" w:hAnsiTheme="minorHAnsi" w:cstheme="minorHAnsi"/>
                <w:sz w:val="22"/>
                <w:szCs w:val="22"/>
              </w:rPr>
            </w:pPr>
            <w:r>
              <w:rPr>
                <w:rFonts w:asciiTheme="minorHAnsi" w:hAnsiTheme="minorHAnsi" w:cstheme="minorHAnsi"/>
                <w:sz w:val="22"/>
                <w:szCs w:val="22"/>
              </w:rPr>
              <w:t>Chris Clarke</w:t>
            </w:r>
          </w:p>
          <w:p w14:paraId="1197B13D" w14:textId="77777777" w:rsidR="00FE5DAB" w:rsidRDefault="00FE5DAB" w:rsidP="00076904">
            <w:pPr>
              <w:pStyle w:val="BodyText"/>
              <w:spacing w:line="240" w:lineRule="atLeast"/>
              <w:rPr>
                <w:rFonts w:asciiTheme="minorHAnsi" w:hAnsiTheme="minorHAnsi" w:cstheme="minorHAnsi"/>
                <w:sz w:val="22"/>
                <w:szCs w:val="22"/>
              </w:rPr>
            </w:pPr>
            <w:r>
              <w:rPr>
                <w:rFonts w:asciiTheme="minorHAnsi" w:hAnsiTheme="minorHAnsi" w:cstheme="minorHAnsi"/>
                <w:sz w:val="22"/>
                <w:szCs w:val="22"/>
              </w:rPr>
              <w:t>Ailsa Macmaster</w:t>
            </w:r>
          </w:p>
          <w:p w14:paraId="03772CF5" w14:textId="77777777" w:rsidR="00FE5DAB" w:rsidRPr="005F5741" w:rsidRDefault="00FE5DAB" w:rsidP="00076904">
            <w:pPr>
              <w:pStyle w:val="BodyText"/>
              <w:spacing w:line="240" w:lineRule="atLeast"/>
              <w:rPr>
                <w:rFonts w:asciiTheme="minorHAnsi" w:hAnsiTheme="minorHAnsi" w:cstheme="minorHAnsi"/>
                <w:sz w:val="22"/>
                <w:szCs w:val="22"/>
              </w:rPr>
            </w:pPr>
            <w:r>
              <w:rPr>
                <w:rFonts w:asciiTheme="minorHAnsi" w:hAnsiTheme="minorHAnsi" w:cstheme="minorHAnsi"/>
                <w:sz w:val="22"/>
                <w:szCs w:val="22"/>
              </w:rPr>
              <w:t>Izzy Trow</w:t>
            </w:r>
          </w:p>
          <w:p w14:paraId="0E046489" w14:textId="77777777" w:rsidR="00FE5DAB" w:rsidRPr="005F5741" w:rsidRDefault="00FE5DAB" w:rsidP="00076904">
            <w:pPr>
              <w:pStyle w:val="BodyText"/>
              <w:spacing w:line="240" w:lineRule="atLeast"/>
              <w:rPr>
                <w:rFonts w:asciiTheme="minorHAnsi" w:hAnsiTheme="minorHAnsi" w:cstheme="minorHAnsi"/>
                <w:sz w:val="22"/>
                <w:szCs w:val="22"/>
              </w:rPr>
            </w:pPr>
          </w:p>
        </w:tc>
        <w:tc>
          <w:tcPr>
            <w:tcW w:w="2222" w:type="dxa"/>
          </w:tcPr>
          <w:p w14:paraId="599191B7" w14:textId="77777777" w:rsidR="00FE5DAB" w:rsidRPr="009E2AA5" w:rsidRDefault="00FE5DAB" w:rsidP="00076904">
            <w:pPr>
              <w:pStyle w:val="BodyText"/>
              <w:spacing w:line="240" w:lineRule="atLeast"/>
              <w:jc w:val="right"/>
              <w:rPr>
                <w:rFonts w:asciiTheme="minorHAnsi" w:hAnsiTheme="minorHAnsi" w:cstheme="minorHAnsi"/>
                <w:b/>
                <w:sz w:val="22"/>
                <w:szCs w:val="22"/>
              </w:rPr>
            </w:pPr>
            <w:r w:rsidRPr="009E2AA5">
              <w:rPr>
                <w:rFonts w:asciiTheme="minorHAnsi" w:hAnsiTheme="minorHAnsi"/>
                <w:b/>
                <w:sz w:val="22"/>
                <w:szCs w:val="22"/>
              </w:rPr>
              <w:t>+44 (0) 20 3100 2000</w:t>
            </w:r>
          </w:p>
        </w:tc>
      </w:tr>
    </w:tbl>
    <w:p w14:paraId="71F42EBA" w14:textId="77777777" w:rsidR="00FE5DAB" w:rsidRPr="005F5741" w:rsidRDefault="00FE5DAB" w:rsidP="00FE5DAB">
      <w:pPr>
        <w:pStyle w:val="BodyText"/>
        <w:keepNext/>
        <w:rPr>
          <w:rFonts w:asciiTheme="minorHAnsi" w:hAnsiTheme="minorHAnsi" w:cstheme="minorHAnsi"/>
          <w:sz w:val="22"/>
          <w:szCs w:val="22"/>
        </w:rPr>
      </w:pPr>
      <w:r w:rsidRPr="005F5741">
        <w:rPr>
          <w:rFonts w:asciiTheme="minorHAnsi" w:hAnsiTheme="minorHAnsi" w:cstheme="minorHAnsi"/>
          <w:sz w:val="22"/>
          <w:szCs w:val="22"/>
        </w:rPr>
        <w:t>Notes to Editors:</w:t>
      </w:r>
    </w:p>
    <w:p w14:paraId="3FB19686" w14:textId="77777777" w:rsidR="00FE5DAB" w:rsidRPr="00366596" w:rsidRDefault="00FE5DAB" w:rsidP="00FE5DAB">
      <w:pPr>
        <w:keepNext/>
        <w:rPr>
          <w:rFonts w:asciiTheme="minorHAnsi" w:hAnsiTheme="minorHAnsi" w:cstheme="minorHAnsi"/>
          <w:b/>
          <w:bCs/>
          <w:sz w:val="22"/>
          <w:szCs w:val="22"/>
        </w:rPr>
      </w:pPr>
      <w:r w:rsidRPr="00366596">
        <w:rPr>
          <w:rFonts w:asciiTheme="minorHAnsi" w:hAnsiTheme="minorHAnsi" w:cstheme="minorHAnsi"/>
          <w:b/>
          <w:bCs/>
          <w:sz w:val="22"/>
          <w:szCs w:val="22"/>
        </w:rPr>
        <w:t>About XP Factory plc</w:t>
      </w:r>
    </w:p>
    <w:p w14:paraId="1AE85D63" w14:textId="77777777" w:rsidR="00FE5DAB" w:rsidRPr="000A4809" w:rsidRDefault="00FE5DAB" w:rsidP="00FE5DAB">
      <w:pPr>
        <w:keepNext/>
        <w:rPr>
          <w:rFonts w:asciiTheme="minorHAnsi" w:hAnsiTheme="minorHAnsi" w:cstheme="minorHAnsi"/>
          <w:sz w:val="22"/>
          <w:szCs w:val="22"/>
        </w:rPr>
      </w:pPr>
      <w:r w:rsidRPr="000A4809">
        <w:rPr>
          <w:rFonts w:asciiTheme="minorHAnsi" w:hAnsiTheme="minorHAnsi" w:cstheme="minorHAnsi"/>
          <w:sz w:val="22"/>
          <w:szCs w:val="22"/>
        </w:rPr>
        <w:t>XP Factory plc (AIM: XPF) is a leading experiential leisure business and the owner and operator of Escape Hunt, a global leader in escape-the-room experiences. Escape Hunt operates through a network of owner-operated sites in the UK and an international network of franchised sites across five continents, as well as through digitally delivered games which can be played remotely.</w:t>
      </w:r>
    </w:p>
    <w:p w14:paraId="5F53561C" w14:textId="77777777" w:rsidR="00FE5DAB" w:rsidRDefault="00FE5DAB" w:rsidP="00FE5DAB">
      <w:pPr>
        <w:keepNext/>
        <w:rPr>
          <w:rFonts w:asciiTheme="minorHAnsi" w:hAnsiTheme="minorHAnsi" w:cstheme="minorHAnsi"/>
          <w:sz w:val="22"/>
          <w:szCs w:val="22"/>
        </w:rPr>
      </w:pPr>
      <w:r w:rsidRPr="000A4809">
        <w:rPr>
          <w:rFonts w:asciiTheme="minorHAnsi" w:hAnsiTheme="minorHAnsi" w:cstheme="minorHAnsi"/>
          <w:sz w:val="22"/>
          <w:szCs w:val="22"/>
        </w:rPr>
        <w:t xml:space="preserve">Escape Hunt provides high-quality, immersive experiences for consumers, businesses and other organisations, catering for leisure and team-building occasions across groups of varying sizes. The Company has a strategy to grow Escape Hunt through the disciplined expansion of its owner-operated estate in the UK and internationally, alongside its franchise network and the continued </w:t>
      </w:r>
      <w:r w:rsidRPr="000A4809">
        <w:rPr>
          <w:rFonts w:asciiTheme="minorHAnsi" w:hAnsiTheme="minorHAnsi" w:cstheme="minorHAnsi"/>
          <w:sz w:val="22"/>
          <w:szCs w:val="22"/>
        </w:rPr>
        <w:lastRenderedPageBreak/>
        <w:t>development of high-quality games and experiences across multiple formats, including those incorporating branded IP content</w:t>
      </w:r>
    </w:p>
    <w:p w14:paraId="1B1B6463" w14:textId="77777777" w:rsidR="00FE5DAB" w:rsidRPr="000A4809" w:rsidRDefault="00FE5DAB" w:rsidP="00FE5DAB">
      <w:pPr>
        <w:keepNext/>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6"/>
        <w:gridCol w:w="1905"/>
        <w:gridCol w:w="286"/>
        <w:gridCol w:w="2835"/>
      </w:tblGrid>
      <w:tr w:rsidR="00FE5DAB" w:rsidRPr="005F5741" w14:paraId="1D9FACDA" w14:textId="77777777" w:rsidTr="00076904">
        <w:tc>
          <w:tcPr>
            <w:tcW w:w="1476" w:type="dxa"/>
          </w:tcPr>
          <w:p w14:paraId="04E6F93E" w14:textId="77777777" w:rsidR="00FE5DAB" w:rsidRPr="005F5741" w:rsidRDefault="00FE5DAB" w:rsidP="00076904">
            <w:pPr>
              <w:pStyle w:val="xmsonormal"/>
              <w:spacing w:before="0" w:beforeAutospacing="0" w:after="0" w:afterAutospacing="0"/>
              <w:rPr>
                <w:rFonts w:asciiTheme="minorHAnsi" w:hAnsiTheme="minorHAnsi" w:cstheme="minorHAnsi"/>
                <w:color w:val="000000"/>
                <w:sz w:val="22"/>
                <w:szCs w:val="22"/>
              </w:rPr>
            </w:pPr>
            <w:r w:rsidRPr="005F5741">
              <w:rPr>
                <w:rFonts w:asciiTheme="minorHAnsi" w:hAnsiTheme="minorHAnsi" w:cstheme="minorHAnsi"/>
                <w:color w:val="000000"/>
                <w:sz w:val="22"/>
                <w:szCs w:val="22"/>
              </w:rPr>
              <w:t xml:space="preserve">Facebook: </w:t>
            </w:r>
          </w:p>
        </w:tc>
        <w:tc>
          <w:tcPr>
            <w:tcW w:w="1635" w:type="dxa"/>
          </w:tcPr>
          <w:p w14:paraId="2BF479BF" w14:textId="77777777" w:rsidR="00FE5DAB" w:rsidRPr="005F5741" w:rsidRDefault="00FE5DAB" w:rsidP="00076904">
            <w:pPr>
              <w:pStyle w:val="xmsonormal"/>
              <w:spacing w:before="0" w:beforeAutospacing="0" w:after="0" w:afterAutospacing="0"/>
              <w:rPr>
                <w:rFonts w:asciiTheme="minorHAnsi" w:hAnsiTheme="minorHAnsi" w:cstheme="minorHAnsi"/>
                <w:color w:val="000000"/>
                <w:sz w:val="22"/>
                <w:szCs w:val="22"/>
              </w:rPr>
            </w:pPr>
            <w:proofErr w:type="spellStart"/>
            <w:r w:rsidRPr="005F5741">
              <w:rPr>
                <w:rFonts w:asciiTheme="minorHAnsi" w:hAnsiTheme="minorHAnsi" w:cstheme="minorHAnsi"/>
                <w:color w:val="000000"/>
                <w:sz w:val="22"/>
                <w:szCs w:val="22"/>
              </w:rPr>
              <w:t>EscapeHuntUK</w:t>
            </w:r>
            <w:proofErr w:type="spellEnd"/>
          </w:p>
        </w:tc>
        <w:tc>
          <w:tcPr>
            <w:tcW w:w="286" w:type="dxa"/>
          </w:tcPr>
          <w:p w14:paraId="5CEF4D08" w14:textId="77777777" w:rsidR="00FE5DAB" w:rsidRPr="005F5741" w:rsidRDefault="00FE5DAB" w:rsidP="00076904">
            <w:pPr>
              <w:pStyle w:val="xmsonormal"/>
              <w:spacing w:before="0" w:beforeAutospacing="0" w:after="0" w:afterAutospacing="0"/>
              <w:rPr>
                <w:rFonts w:asciiTheme="minorHAnsi" w:hAnsiTheme="minorHAnsi" w:cstheme="minorHAnsi"/>
                <w:color w:val="000000"/>
                <w:sz w:val="22"/>
                <w:szCs w:val="22"/>
              </w:rPr>
            </w:pPr>
          </w:p>
        </w:tc>
        <w:tc>
          <w:tcPr>
            <w:tcW w:w="2835" w:type="dxa"/>
          </w:tcPr>
          <w:p w14:paraId="636B1208" w14:textId="77777777" w:rsidR="00FE5DAB" w:rsidRPr="005F5741" w:rsidRDefault="00FE5DAB" w:rsidP="00076904">
            <w:pPr>
              <w:pStyle w:val="xmsonormal"/>
              <w:spacing w:before="0" w:beforeAutospacing="0" w:after="0" w:afterAutospacing="0"/>
              <w:rPr>
                <w:rFonts w:asciiTheme="minorHAnsi" w:hAnsiTheme="minorHAnsi" w:cstheme="minorHAnsi"/>
                <w:color w:val="000000"/>
                <w:sz w:val="22"/>
                <w:szCs w:val="22"/>
              </w:rPr>
            </w:pPr>
            <w:proofErr w:type="spellStart"/>
            <w:r w:rsidRPr="005F5741">
              <w:rPr>
                <w:rFonts w:asciiTheme="minorHAnsi" w:hAnsiTheme="minorHAnsi" w:cstheme="minorHAnsi"/>
                <w:color w:val="000000"/>
                <w:sz w:val="22"/>
                <w:szCs w:val="22"/>
              </w:rPr>
              <w:t>BoomBattleBar</w:t>
            </w:r>
            <w:proofErr w:type="spellEnd"/>
          </w:p>
        </w:tc>
      </w:tr>
      <w:tr w:rsidR="00FE5DAB" w:rsidRPr="005F5741" w14:paraId="5F77E13A" w14:textId="77777777" w:rsidTr="00076904">
        <w:tc>
          <w:tcPr>
            <w:tcW w:w="1476" w:type="dxa"/>
          </w:tcPr>
          <w:p w14:paraId="11B6E8E9" w14:textId="77777777" w:rsidR="00FE5DAB" w:rsidRPr="005F5741" w:rsidRDefault="00FE5DAB" w:rsidP="00076904">
            <w:pPr>
              <w:pStyle w:val="xmsonormal"/>
              <w:spacing w:before="0" w:beforeAutospacing="0" w:after="0" w:afterAutospacing="0"/>
              <w:rPr>
                <w:rFonts w:asciiTheme="minorHAnsi" w:hAnsiTheme="minorHAnsi" w:cstheme="minorHAnsi"/>
                <w:color w:val="000000"/>
                <w:sz w:val="22"/>
                <w:szCs w:val="22"/>
              </w:rPr>
            </w:pPr>
            <w:r w:rsidRPr="005F5741">
              <w:rPr>
                <w:rFonts w:asciiTheme="minorHAnsi" w:hAnsiTheme="minorHAnsi" w:cstheme="minorHAnsi"/>
                <w:color w:val="000000"/>
                <w:sz w:val="22"/>
                <w:szCs w:val="22"/>
              </w:rPr>
              <w:t xml:space="preserve">Twitter: </w:t>
            </w:r>
          </w:p>
        </w:tc>
        <w:tc>
          <w:tcPr>
            <w:tcW w:w="1635" w:type="dxa"/>
          </w:tcPr>
          <w:p w14:paraId="3111F196" w14:textId="77777777" w:rsidR="00FE5DAB" w:rsidRPr="005F5741" w:rsidRDefault="00FE5DAB" w:rsidP="00076904">
            <w:pPr>
              <w:pStyle w:val="xmsonormal"/>
              <w:spacing w:before="0" w:beforeAutospacing="0" w:after="0" w:afterAutospacing="0"/>
              <w:rPr>
                <w:rFonts w:asciiTheme="minorHAnsi" w:hAnsiTheme="minorHAnsi" w:cstheme="minorHAnsi"/>
                <w:color w:val="000000"/>
                <w:sz w:val="22"/>
                <w:szCs w:val="22"/>
              </w:rPr>
            </w:pPr>
            <w:r w:rsidRPr="005F5741">
              <w:rPr>
                <w:rFonts w:asciiTheme="minorHAnsi" w:hAnsiTheme="minorHAnsi" w:cstheme="minorHAnsi"/>
                <w:color w:val="000000"/>
                <w:sz w:val="22"/>
                <w:szCs w:val="22"/>
              </w:rPr>
              <w:t>@EscapeHuntUK </w:t>
            </w:r>
          </w:p>
        </w:tc>
        <w:tc>
          <w:tcPr>
            <w:tcW w:w="286" w:type="dxa"/>
          </w:tcPr>
          <w:p w14:paraId="186DD126" w14:textId="77777777" w:rsidR="00FE5DAB" w:rsidRPr="005F5741" w:rsidRDefault="00FE5DAB" w:rsidP="00076904">
            <w:pPr>
              <w:pStyle w:val="xmsonormal"/>
              <w:spacing w:before="0" w:beforeAutospacing="0" w:after="0" w:afterAutospacing="0"/>
              <w:rPr>
                <w:rFonts w:asciiTheme="minorHAnsi" w:hAnsiTheme="minorHAnsi" w:cstheme="minorHAnsi"/>
                <w:color w:val="000000"/>
                <w:sz w:val="22"/>
                <w:szCs w:val="22"/>
              </w:rPr>
            </w:pPr>
          </w:p>
        </w:tc>
        <w:tc>
          <w:tcPr>
            <w:tcW w:w="2835" w:type="dxa"/>
          </w:tcPr>
          <w:p w14:paraId="47FD677C" w14:textId="77777777" w:rsidR="00FE5DAB" w:rsidRPr="005F5741" w:rsidRDefault="00FE5DAB" w:rsidP="00076904">
            <w:pPr>
              <w:pStyle w:val="xmsonormal"/>
              <w:spacing w:before="0" w:beforeAutospacing="0" w:after="0" w:afterAutospacing="0"/>
              <w:rPr>
                <w:rFonts w:asciiTheme="minorHAnsi" w:hAnsiTheme="minorHAnsi" w:cstheme="minorHAnsi"/>
                <w:color w:val="000000"/>
                <w:sz w:val="22"/>
                <w:szCs w:val="22"/>
              </w:rPr>
            </w:pPr>
            <w:r w:rsidRPr="005F5741">
              <w:rPr>
                <w:rFonts w:asciiTheme="minorHAnsi" w:hAnsiTheme="minorHAnsi" w:cstheme="minorHAnsi"/>
                <w:color w:val="000000"/>
                <w:sz w:val="22"/>
                <w:szCs w:val="22"/>
              </w:rPr>
              <w:t>@boombattlebar</w:t>
            </w:r>
          </w:p>
        </w:tc>
      </w:tr>
      <w:tr w:rsidR="00FE5DAB" w:rsidRPr="005F5741" w14:paraId="35C8BCBB" w14:textId="77777777" w:rsidTr="00076904">
        <w:tc>
          <w:tcPr>
            <w:tcW w:w="1476" w:type="dxa"/>
          </w:tcPr>
          <w:p w14:paraId="15085E77" w14:textId="77777777" w:rsidR="00FE5DAB" w:rsidRPr="005F5741" w:rsidRDefault="00FE5DAB" w:rsidP="00076904">
            <w:pPr>
              <w:spacing w:after="100" w:afterAutospacing="1" w:line="312" w:lineRule="atLeast"/>
              <w:rPr>
                <w:rFonts w:asciiTheme="minorHAnsi" w:hAnsiTheme="minorHAnsi" w:cstheme="minorHAnsi"/>
                <w:color w:val="000000"/>
                <w:sz w:val="22"/>
                <w:szCs w:val="22"/>
              </w:rPr>
            </w:pPr>
            <w:r w:rsidRPr="005F5741">
              <w:rPr>
                <w:rFonts w:asciiTheme="minorHAnsi" w:hAnsiTheme="minorHAnsi" w:cstheme="minorHAnsi"/>
                <w:color w:val="000000"/>
                <w:sz w:val="22"/>
                <w:szCs w:val="22"/>
              </w:rPr>
              <w:t xml:space="preserve">Instagram: </w:t>
            </w:r>
          </w:p>
        </w:tc>
        <w:tc>
          <w:tcPr>
            <w:tcW w:w="1635" w:type="dxa"/>
          </w:tcPr>
          <w:p w14:paraId="7D1CC063" w14:textId="77777777" w:rsidR="00FE5DAB" w:rsidRPr="005F5741" w:rsidRDefault="00FE5DAB" w:rsidP="00076904">
            <w:pPr>
              <w:spacing w:after="100" w:afterAutospacing="1" w:line="312" w:lineRule="atLeast"/>
              <w:rPr>
                <w:rFonts w:asciiTheme="minorHAnsi" w:hAnsiTheme="minorHAnsi" w:cstheme="minorHAnsi"/>
                <w:sz w:val="22"/>
                <w:szCs w:val="22"/>
              </w:rPr>
            </w:pPr>
            <w:r w:rsidRPr="005F5741">
              <w:rPr>
                <w:rFonts w:asciiTheme="minorHAnsi" w:hAnsiTheme="minorHAnsi" w:cstheme="minorHAnsi"/>
                <w:color w:val="000000"/>
                <w:sz w:val="22"/>
                <w:szCs w:val="22"/>
              </w:rPr>
              <w:t>@escapehuntuk</w:t>
            </w:r>
            <w:r w:rsidRPr="005F5741" w:rsidDel="00B65327">
              <w:rPr>
                <w:rFonts w:asciiTheme="minorHAnsi" w:hAnsiTheme="minorHAnsi" w:cstheme="minorHAnsi"/>
                <w:sz w:val="22"/>
                <w:szCs w:val="22"/>
              </w:rPr>
              <w:t xml:space="preserve"> </w:t>
            </w:r>
          </w:p>
        </w:tc>
        <w:tc>
          <w:tcPr>
            <w:tcW w:w="286" w:type="dxa"/>
          </w:tcPr>
          <w:p w14:paraId="530D88E7" w14:textId="77777777" w:rsidR="00FE5DAB" w:rsidRPr="005F5741" w:rsidRDefault="00FE5DAB" w:rsidP="00076904">
            <w:pPr>
              <w:spacing w:after="100" w:afterAutospacing="1" w:line="312" w:lineRule="atLeast"/>
              <w:rPr>
                <w:rFonts w:asciiTheme="minorHAnsi" w:hAnsiTheme="minorHAnsi" w:cstheme="minorHAnsi"/>
                <w:sz w:val="22"/>
                <w:szCs w:val="22"/>
              </w:rPr>
            </w:pPr>
          </w:p>
        </w:tc>
        <w:tc>
          <w:tcPr>
            <w:tcW w:w="2835" w:type="dxa"/>
          </w:tcPr>
          <w:p w14:paraId="4949F855" w14:textId="77777777" w:rsidR="00FE5DAB" w:rsidRPr="005F5741" w:rsidRDefault="00FE5DAB" w:rsidP="00076904">
            <w:pPr>
              <w:spacing w:after="100" w:afterAutospacing="1" w:line="312" w:lineRule="atLeast"/>
              <w:rPr>
                <w:rFonts w:asciiTheme="minorHAnsi" w:hAnsiTheme="minorHAnsi" w:cstheme="minorHAnsi"/>
                <w:color w:val="212529"/>
                <w:sz w:val="22"/>
                <w:szCs w:val="22"/>
                <w:lang w:val="en"/>
              </w:rPr>
            </w:pPr>
            <w:r w:rsidRPr="005F5741">
              <w:rPr>
                <w:rFonts w:asciiTheme="minorHAnsi" w:hAnsiTheme="minorHAnsi" w:cstheme="minorHAnsi"/>
                <w:sz w:val="22"/>
                <w:szCs w:val="22"/>
              </w:rPr>
              <w:t>@b</w:t>
            </w:r>
            <w:r w:rsidRPr="005F5741">
              <w:rPr>
                <w:rFonts w:asciiTheme="minorHAnsi" w:hAnsiTheme="minorHAnsi" w:cstheme="minorHAnsi"/>
                <w:color w:val="000000"/>
                <w:sz w:val="22"/>
                <w:szCs w:val="22"/>
              </w:rPr>
              <w:t>oombattlebar</w:t>
            </w:r>
          </w:p>
        </w:tc>
      </w:tr>
    </w:tbl>
    <w:p w14:paraId="70FD2254" w14:textId="77777777" w:rsidR="00FE5DAB" w:rsidRPr="008A202E" w:rsidRDefault="00FE5DAB" w:rsidP="00FE5DAB">
      <w:pPr>
        <w:rPr>
          <w:rFonts w:asciiTheme="minorHAnsi" w:hAnsiTheme="minorHAnsi"/>
          <w:sz w:val="21"/>
          <w:szCs w:val="21"/>
        </w:rPr>
      </w:pPr>
    </w:p>
    <w:p w14:paraId="3A1AECE6" w14:textId="77777777" w:rsidR="00FE5DAB" w:rsidRPr="008A202E" w:rsidRDefault="00FE5DAB" w:rsidP="00FE5DAB">
      <w:pPr>
        <w:rPr>
          <w:sz w:val="18"/>
          <w:szCs w:val="18"/>
        </w:rPr>
      </w:pPr>
    </w:p>
    <w:p w14:paraId="35FEFB1D" w14:textId="77777777" w:rsidR="00FE5DAB" w:rsidRDefault="00FE5DAB" w:rsidP="00FE5DAB"/>
    <w:p w14:paraId="5D46BA0C" w14:textId="77777777" w:rsidR="00325CE7" w:rsidRPr="00FE5DAB" w:rsidRDefault="00325CE7" w:rsidP="00FE5DAB"/>
    <w:sectPr w:rsidR="00325CE7" w:rsidRPr="00FE5DA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DC792" w14:textId="77777777" w:rsidR="00304D77" w:rsidRDefault="00304D77" w:rsidP="00FE5DAB">
      <w:r>
        <w:separator/>
      </w:r>
    </w:p>
  </w:endnote>
  <w:endnote w:type="continuationSeparator" w:id="0">
    <w:p w14:paraId="65545001" w14:textId="77777777" w:rsidR="00304D77" w:rsidRDefault="00304D77" w:rsidP="00FE5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nivers 45 Light">
    <w:altName w:val="Arial"/>
    <w:charset w:val="00"/>
    <w:family w:val="swiss"/>
    <w:pitch w:val="variable"/>
    <w:sig w:usb0="20002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9525B" w14:textId="77777777" w:rsidR="00304D77" w:rsidRDefault="00304D77" w:rsidP="00FE5DAB">
      <w:r>
        <w:separator/>
      </w:r>
    </w:p>
  </w:footnote>
  <w:footnote w:type="continuationSeparator" w:id="0">
    <w:p w14:paraId="033F8FCD" w14:textId="77777777" w:rsidR="00304D77" w:rsidRDefault="00304D77" w:rsidP="00FE5D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6"/>
    <w:multiLevelType w:val="multilevel"/>
    <w:tmpl w:val="00000889"/>
    <w:lvl w:ilvl="0">
      <w:numFmt w:val="bullet"/>
      <w:lvlText w:val="—"/>
      <w:lvlJc w:val="left"/>
      <w:pPr>
        <w:ind w:left="366" w:hanging="282"/>
      </w:pPr>
      <w:rPr>
        <w:rFonts w:ascii="Times New Roman" w:hAnsi="Times New Roman" w:cs="Times New Roman"/>
        <w:b w:val="0"/>
        <w:bCs w:val="0"/>
        <w:w w:val="95"/>
        <w:sz w:val="19"/>
        <w:szCs w:val="19"/>
      </w:rPr>
    </w:lvl>
    <w:lvl w:ilvl="1">
      <w:numFmt w:val="bullet"/>
      <w:lvlText w:val="•"/>
      <w:lvlJc w:val="left"/>
      <w:pPr>
        <w:ind w:left="540" w:hanging="282"/>
      </w:pPr>
    </w:lvl>
    <w:lvl w:ilvl="2">
      <w:numFmt w:val="bullet"/>
      <w:lvlText w:val="•"/>
      <w:lvlJc w:val="left"/>
      <w:pPr>
        <w:ind w:left="720" w:hanging="282"/>
      </w:pPr>
    </w:lvl>
    <w:lvl w:ilvl="3">
      <w:numFmt w:val="bullet"/>
      <w:lvlText w:val="•"/>
      <w:lvlJc w:val="left"/>
      <w:pPr>
        <w:ind w:left="901" w:hanging="282"/>
      </w:pPr>
    </w:lvl>
    <w:lvl w:ilvl="4">
      <w:numFmt w:val="bullet"/>
      <w:lvlText w:val="•"/>
      <w:lvlJc w:val="left"/>
      <w:pPr>
        <w:ind w:left="1081" w:hanging="282"/>
      </w:pPr>
    </w:lvl>
    <w:lvl w:ilvl="5">
      <w:numFmt w:val="bullet"/>
      <w:lvlText w:val="•"/>
      <w:lvlJc w:val="left"/>
      <w:pPr>
        <w:ind w:left="1262" w:hanging="282"/>
      </w:pPr>
    </w:lvl>
    <w:lvl w:ilvl="6">
      <w:numFmt w:val="bullet"/>
      <w:lvlText w:val="•"/>
      <w:lvlJc w:val="left"/>
      <w:pPr>
        <w:ind w:left="1442" w:hanging="282"/>
      </w:pPr>
    </w:lvl>
    <w:lvl w:ilvl="7">
      <w:numFmt w:val="bullet"/>
      <w:lvlText w:val="•"/>
      <w:lvlJc w:val="left"/>
      <w:pPr>
        <w:ind w:left="1623" w:hanging="282"/>
      </w:pPr>
    </w:lvl>
    <w:lvl w:ilvl="8">
      <w:numFmt w:val="bullet"/>
      <w:lvlText w:val="•"/>
      <w:lvlJc w:val="left"/>
      <w:pPr>
        <w:ind w:left="1803" w:hanging="282"/>
      </w:pPr>
    </w:lvl>
  </w:abstractNum>
  <w:abstractNum w:abstractNumId="1" w15:restartNumberingAfterBreak="0">
    <w:nsid w:val="4B234621"/>
    <w:multiLevelType w:val="hybridMultilevel"/>
    <w:tmpl w:val="22BCF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B4038B"/>
    <w:multiLevelType w:val="hybridMultilevel"/>
    <w:tmpl w:val="24F2AF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DA7F98"/>
    <w:multiLevelType w:val="hybridMultilevel"/>
    <w:tmpl w:val="6AACC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7183364">
    <w:abstractNumId w:val="0"/>
  </w:num>
  <w:num w:numId="2" w16cid:durableId="1600210830">
    <w:abstractNumId w:val="2"/>
  </w:num>
  <w:num w:numId="3" w16cid:durableId="1501121592">
    <w:abstractNumId w:val="1"/>
  </w:num>
  <w:num w:numId="4" w16cid:durableId="15195437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CE7"/>
    <w:rsid w:val="00033BE2"/>
    <w:rsid w:val="001E2D97"/>
    <w:rsid w:val="0028083E"/>
    <w:rsid w:val="002856FB"/>
    <w:rsid w:val="00286068"/>
    <w:rsid w:val="00304D77"/>
    <w:rsid w:val="00325CE7"/>
    <w:rsid w:val="00463B51"/>
    <w:rsid w:val="00464561"/>
    <w:rsid w:val="004C6F03"/>
    <w:rsid w:val="00506989"/>
    <w:rsid w:val="006D0181"/>
    <w:rsid w:val="00A55E56"/>
    <w:rsid w:val="00BC2D6C"/>
    <w:rsid w:val="00FE5D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1BC2A"/>
  <w15:chartTrackingRefBased/>
  <w15:docId w15:val="{445D570C-6AEC-492F-B1BC-7F4F65117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068"/>
    <w:pPr>
      <w:spacing w:after="0" w:line="240" w:lineRule="auto"/>
      <w:jc w:val="both"/>
    </w:pPr>
    <w:rPr>
      <w:rFonts w:ascii="Arial" w:eastAsia="Times New Roman" w:hAnsi="Arial" w:cs="Times New Roman"/>
      <w:kern w:val="0"/>
      <w:sz w:val="20"/>
      <w:szCs w:val="20"/>
      <w14:ligatures w14:val="none"/>
    </w:rPr>
  </w:style>
  <w:style w:type="paragraph" w:styleId="Heading1">
    <w:name w:val="heading 1"/>
    <w:basedOn w:val="Normal"/>
    <w:next w:val="Normal"/>
    <w:link w:val="Heading1Char"/>
    <w:uiPriority w:val="9"/>
    <w:qFormat/>
    <w:rsid w:val="00325C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5C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5C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5C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5C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5C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5C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5C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5C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5C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5C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5C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5C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5C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5C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5C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5C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5CE7"/>
    <w:rPr>
      <w:rFonts w:eastAsiaTheme="majorEastAsia" w:cstheme="majorBidi"/>
      <w:color w:val="272727" w:themeColor="text1" w:themeTint="D8"/>
    </w:rPr>
  </w:style>
  <w:style w:type="paragraph" w:styleId="Title">
    <w:name w:val="Title"/>
    <w:basedOn w:val="Normal"/>
    <w:next w:val="Normal"/>
    <w:link w:val="TitleChar"/>
    <w:uiPriority w:val="10"/>
    <w:qFormat/>
    <w:rsid w:val="00325C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5C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5C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5C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5CE7"/>
    <w:pPr>
      <w:spacing w:before="160"/>
      <w:jc w:val="center"/>
    </w:pPr>
    <w:rPr>
      <w:i/>
      <w:iCs/>
      <w:color w:val="404040" w:themeColor="text1" w:themeTint="BF"/>
    </w:rPr>
  </w:style>
  <w:style w:type="character" w:customStyle="1" w:styleId="QuoteChar">
    <w:name w:val="Quote Char"/>
    <w:basedOn w:val="DefaultParagraphFont"/>
    <w:link w:val="Quote"/>
    <w:uiPriority w:val="29"/>
    <w:rsid w:val="00325CE7"/>
    <w:rPr>
      <w:i/>
      <w:iCs/>
      <w:color w:val="404040" w:themeColor="text1" w:themeTint="BF"/>
    </w:rPr>
  </w:style>
  <w:style w:type="paragraph" w:styleId="ListParagraph">
    <w:name w:val="List Paragraph"/>
    <w:basedOn w:val="Normal"/>
    <w:uiPriority w:val="34"/>
    <w:qFormat/>
    <w:rsid w:val="00325CE7"/>
    <w:pPr>
      <w:ind w:left="720"/>
      <w:contextualSpacing/>
    </w:pPr>
  </w:style>
  <w:style w:type="character" w:styleId="IntenseEmphasis">
    <w:name w:val="Intense Emphasis"/>
    <w:basedOn w:val="DefaultParagraphFont"/>
    <w:uiPriority w:val="21"/>
    <w:qFormat/>
    <w:rsid w:val="00325CE7"/>
    <w:rPr>
      <w:i/>
      <w:iCs/>
      <w:color w:val="0F4761" w:themeColor="accent1" w:themeShade="BF"/>
    </w:rPr>
  </w:style>
  <w:style w:type="paragraph" w:styleId="IntenseQuote">
    <w:name w:val="Intense Quote"/>
    <w:basedOn w:val="Normal"/>
    <w:next w:val="Normal"/>
    <w:link w:val="IntenseQuoteChar"/>
    <w:uiPriority w:val="30"/>
    <w:qFormat/>
    <w:rsid w:val="00325C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5CE7"/>
    <w:rPr>
      <w:i/>
      <w:iCs/>
      <w:color w:val="0F4761" w:themeColor="accent1" w:themeShade="BF"/>
    </w:rPr>
  </w:style>
  <w:style w:type="character" w:styleId="IntenseReference">
    <w:name w:val="Intense Reference"/>
    <w:basedOn w:val="DefaultParagraphFont"/>
    <w:uiPriority w:val="32"/>
    <w:qFormat/>
    <w:rsid w:val="00325CE7"/>
    <w:rPr>
      <w:b/>
      <w:bCs/>
      <w:smallCaps/>
      <w:color w:val="0F4761" w:themeColor="accent1" w:themeShade="BF"/>
      <w:spacing w:val="5"/>
    </w:rPr>
  </w:style>
  <w:style w:type="paragraph" w:styleId="BodyText">
    <w:name w:val="Body Text"/>
    <w:basedOn w:val="Normal"/>
    <w:link w:val="BodyTextChar"/>
    <w:semiHidden/>
    <w:rsid w:val="00286068"/>
    <w:pPr>
      <w:spacing w:line="480" w:lineRule="auto"/>
      <w:outlineLvl w:val="0"/>
    </w:pPr>
    <w:rPr>
      <w:rFonts w:ascii="Univers 45 Light" w:hAnsi="Univers 45 Light"/>
      <w:sz w:val="16"/>
    </w:rPr>
  </w:style>
  <w:style w:type="character" w:customStyle="1" w:styleId="BodyTextChar">
    <w:name w:val="Body Text Char"/>
    <w:basedOn w:val="DefaultParagraphFont"/>
    <w:link w:val="BodyText"/>
    <w:semiHidden/>
    <w:rsid w:val="00286068"/>
    <w:rPr>
      <w:rFonts w:ascii="Univers 45 Light" w:eastAsia="Times New Roman" w:hAnsi="Univers 45 Light" w:cs="Times New Roman"/>
      <w:kern w:val="0"/>
      <w:sz w:val="16"/>
      <w:szCs w:val="20"/>
      <w14:ligatures w14:val="none"/>
    </w:rPr>
  </w:style>
  <w:style w:type="character" w:styleId="Hyperlink">
    <w:name w:val="Hyperlink"/>
    <w:basedOn w:val="DefaultParagraphFont"/>
    <w:semiHidden/>
    <w:rsid w:val="00286068"/>
    <w:rPr>
      <w:color w:val="0000FF"/>
      <w:u w:val="single"/>
    </w:rPr>
  </w:style>
  <w:style w:type="table" w:styleId="TableGrid">
    <w:name w:val="Table Grid"/>
    <w:basedOn w:val="TableNormal"/>
    <w:uiPriority w:val="59"/>
    <w:rsid w:val="00286068"/>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8606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
    <w:name w:val="bi"/>
    <w:basedOn w:val="DefaultParagraphFont"/>
    <w:rsid w:val="00286068"/>
  </w:style>
  <w:style w:type="character" w:customStyle="1" w:styleId="bk">
    <w:name w:val="bk"/>
    <w:basedOn w:val="DefaultParagraphFont"/>
    <w:rsid w:val="00286068"/>
  </w:style>
  <w:style w:type="character" w:customStyle="1" w:styleId="fc">
    <w:name w:val="fc"/>
    <w:basedOn w:val="DefaultParagraphFont"/>
    <w:rsid w:val="00286068"/>
  </w:style>
  <w:style w:type="paragraph" w:customStyle="1" w:styleId="ft">
    <w:name w:val="ft"/>
    <w:basedOn w:val="Normal"/>
    <w:rsid w:val="00286068"/>
    <w:pPr>
      <w:spacing w:before="100" w:beforeAutospacing="1" w:after="100" w:afterAutospacing="1"/>
      <w:jc w:val="left"/>
    </w:pPr>
    <w:rPr>
      <w:rFonts w:ascii="Times New Roman" w:hAnsi="Times New Roman"/>
      <w:sz w:val="24"/>
      <w:szCs w:val="24"/>
      <w:lang w:eastAsia="en-GB"/>
    </w:rPr>
  </w:style>
  <w:style w:type="paragraph" w:customStyle="1" w:styleId="fu">
    <w:name w:val="fu"/>
    <w:basedOn w:val="Normal"/>
    <w:rsid w:val="00286068"/>
    <w:pPr>
      <w:spacing w:before="100" w:beforeAutospacing="1" w:after="100" w:afterAutospacing="1"/>
      <w:jc w:val="left"/>
    </w:pPr>
    <w:rPr>
      <w:rFonts w:ascii="Times New Roman" w:hAnsi="Times New Roman"/>
      <w:sz w:val="24"/>
      <w:szCs w:val="24"/>
      <w:lang w:eastAsia="en-GB"/>
    </w:rPr>
  </w:style>
  <w:style w:type="character" w:customStyle="1" w:styleId="dx">
    <w:name w:val="dx"/>
    <w:basedOn w:val="DefaultParagraphFont"/>
    <w:rsid w:val="00286068"/>
  </w:style>
  <w:style w:type="table" w:customStyle="1" w:styleId="TableGrid2">
    <w:name w:val="Table Grid2"/>
    <w:basedOn w:val="TableNormal"/>
    <w:next w:val="TableGrid"/>
    <w:uiPriority w:val="59"/>
    <w:rsid w:val="00286068"/>
    <w:pPr>
      <w:spacing w:after="120" w:line="276" w:lineRule="auto"/>
    </w:pPr>
    <w:rPr>
      <w:rFonts w:ascii="Arial" w:hAnsi="Arial"/>
      <w:kern w:val="0"/>
      <w:sz w:val="20"/>
      <w:szCs w:val="20"/>
      <w14:ligatures w14:val="none"/>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msonormal">
    <w:name w:val="x_msonormal"/>
    <w:basedOn w:val="Normal"/>
    <w:rsid w:val="00FE5DAB"/>
    <w:pPr>
      <w:spacing w:before="100" w:beforeAutospacing="1" w:after="100" w:afterAutospacing="1" w:line="276" w:lineRule="auto"/>
      <w:jc w:val="left"/>
    </w:pPr>
    <w:rPr>
      <w:rFonts w:ascii="Times New Roman" w:hAnsi="Times New Roman"/>
      <w:sz w:val="24"/>
      <w:szCs w:val="24"/>
      <w:lang w:eastAsia="en-GB"/>
    </w:rPr>
  </w:style>
  <w:style w:type="paragraph" w:styleId="NoSpacing">
    <w:name w:val="No Spacing"/>
    <w:uiPriority w:val="1"/>
    <w:qFormat/>
    <w:rsid w:val="00FE5DAB"/>
    <w:pPr>
      <w:spacing w:after="0" w:line="240" w:lineRule="auto"/>
      <w:jc w:val="both"/>
    </w:pPr>
    <w:rPr>
      <w:rFonts w:ascii="Arial" w:hAnsi="Arial"/>
      <w:kern w:val="0"/>
      <w:sz w:val="20"/>
      <w:szCs w:val="20"/>
      <w14:ligatures w14:val="none"/>
    </w:rPr>
  </w:style>
  <w:style w:type="character" w:styleId="CommentReference">
    <w:name w:val="annotation reference"/>
    <w:basedOn w:val="DefaultParagraphFont"/>
    <w:uiPriority w:val="99"/>
    <w:semiHidden/>
    <w:unhideWhenUsed/>
    <w:rsid w:val="00FE5DAB"/>
    <w:rPr>
      <w:sz w:val="16"/>
      <w:szCs w:val="16"/>
    </w:rPr>
  </w:style>
  <w:style w:type="paragraph" w:styleId="CommentText">
    <w:name w:val="annotation text"/>
    <w:basedOn w:val="Normal"/>
    <w:link w:val="CommentTextChar"/>
    <w:uiPriority w:val="99"/>
    <w:unhideWhenUsed/>
    <w:rsid w:val="00FE5DAB"/>
    <w:pPr>
      <w:spacing w:after="120"/>
    </w:pPr>
    <w:rPr>
      <w:rFonts w:eastAsiaTheme="minorHAnsi" w:cstheme="minorBidi"/>
    </w:rPr>
  </w:style>
  <w:style w:type="character" w:customStyle="1" w:styleId="CommentTextChar">
    <w:name w:val="Comment Text Char"/>
    <w:basedOn w:val="DefaultParagraphFont"/>
    <w:link w:val="CommentText"/>
    <w:uiPriority w:val="99"/>
    <w:rsid w:val="00FE5DAB"/>
    <w:rPr>
      <w:rFonts w:ascii="Arial" w:hAnsi="Arial"/>
      <w:kern w:val="0"/>
      <w:sz w:val="20"/>
      <w:szCs w:val="20"/>
      <w14:ligatures w14:val="none"/>
    </w:rPr>
  </w:style>
  <w:style w:type="paragraph" w:styleId="FootnoteText">
    <w:name w:val="footnote text"/>
    <w:basedOn w:val="Normal"/>
    <w:link w:val="FootnoteTextChar"/>
    <w:uiPriority w:val="99"/>
    <w:semiHidden/>
    <w:unhideWhenUsed/>
    <w:rsid w:val="00FE5DAB"/>
    <w:rPr>
      <w:rFonts w:eastAsiaTheme="minorHAnsi" w:cstheme="minorBidi"/>
    </w:rPr>
  </w:style>
  <w:style w:type="character" w:customStyle="1" w:styleId="FootnoteTextChar">
    <w:name w:val="Footnote Text Char"/>
    <w:basedOn w:val="DefaultParagraphFont"/>
    <w:link w:val="FootnoteText"/>
    <w:uiPriority w:val="99"/>
    <w:semiHidden/>
    <w:rsid w:val="00FE5DAB"/>
    <w:rPr>
      <w:rFonts w:ascii="Arial" w:hAnsi="Arial"/>
      <w:kern w:val="0"/>
      <w:sz w:val="20"/>
      <w:szCs w:val="20"/>
      <w14:ligatures w14:val="none"/>
    </w:rPr>
  </w:style>
  <w:style w:type="character" w:styleId="FootnoteReference">
    <w:name w:val="footnote reference"/>
    <w:basedOn w:val="DefaultParagraphFont"/>
    <w:uiPriority w:val="99"/>
    <w:semiHidden/>
    <w:unhideWhenUsed/>
    <w:rsid w:val="00FE5DAB"/>
    <w:rPr>
      <w:vertAlign w:val="superscript"/>
    </w:rPr>
  </w:style>
  <w:style w:type="character" w:customStyle="1" w:styleId="apple-converted-space">
    <w:name w:val="apple-converted-space"/>
    <w:basedOn w:val="DefaultParagraphFont"/>
    <w:rsid w:val="001E2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xpfactory.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1684</Words>
  <Characters>9195</Characters>
  <Application>Microsoft Office Word</Application>
  <DocSecurity>0</DocSecurity>
  <Lines>195</Lines>
  <Paragraphs>99</Paragraphs>
  <ScaleCrop>false</ScaleCrop>
  <Company/>
  <LinksUpToDate>false</LinksUpToDate>
  <CharactersWithSpaces>10780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Trow</dc:creator>
  <cp:keywords/>
  <dc:description/>
  <cp:lastModifiedBy>Dominic Richards</cp:lastModifiedBy>
  <cp:revision>3</cp:revision>
  <dcterms:created xsi:type="dcterms:W3CDTF">2026-09-28T09:19:00Z</dcterms:created>
  <dcterms:modified xsi:type="dcterms:W3CDTF">2026-09-28T09:23:00Z</dcterms:modified>
</cp:coreProperties>
</file>